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A0747" w:rsidRDefault="00EA0747" w:rsidP="00EA0747">
      <w:pPr>
        <w:suppressLineNumbers/>
        <w:rPr>
          <w:rtl/>
        </w:rPr>
      </w:pPr>
      <w:bookmarkStart w:id="0" w:name="_GoBack"/>
      <w:bookmarkEnd w:id="0"/>
    </w:p>
    <w:p w:rsidR="00EA0747" w:rsidRDefault="00EA0747" w:rsidP="00EA0747">
      <w:pPr>
        <w:suppressLineNumbers/>
        <w:jc w:val="center"/>
        <w:rPr>
          <w:rtl/>
        </w:rPr>
      </w:pPr>
      <w:r>
        <w:drawing>
          <wp:inline distT="0" distB="0" distL="0" distR="0" wp14:anchorId="7330A205" wp14:editId="2C141481">
            <wp:extent cx="374015" cy="469265"/>
            <wp:effectExtent l="0" t="0" r="6985" b="6985"/>
            <wp:docPr id="2" name="Picture 1" descr="ישראל - המנורה - 2"/>
            <wp:cNvGraphicFramePr/>
            <a:graphic xmlns:a="http://schemas.openxmlformats.org/drawingml/2006/main">
              <a:graphicData uri="http://schemas.openxmlformats.org/drawingml/2006/picture">
                <pic:pic xmlns:pic="http://schemas.openxmlformats.org/drawingml/2006/picture">
                  <pic:nvPicPr>
                    <pic:cNvPr id="2" name="Picture 1" descr="ישראל - המנורה - 2"/>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p w:rsidR="00EA0747" w:rsidRDefault="00EA0747" w:rsidP="00EA0747">
      <w:pPr>
        <w:suppressLineNumbers/>
        <w:jc w:val="center"/>
        <w:rPr>
          <w:rtl/>
        </w:rPr>
      </w:pPr>
    </w:p>
    <w:p w:rsidR="00EA0747" w:rsidRDefault="00EA0747" w:rsidP="00EA0747">
      <w:pPr>
        <w:suppressLineNumbers/>
        <w:jc w:val="center"/>
        <w:rPr>
          <w:rtl/>
        </w:rPr>
      </w:pPr>
      <w:r>
        <w:rPr>
          <w:rFonts w:ascii="Tahoma" w:hAnsi="Tahoma"/>
          <w:color w:val="000080"/>
          <w:sz w:val="32"/>
          <w:szCs w:val="32"/>
          <w:rtl/>
        </w:rPr>
        <w:t>בית המשפט המחוזי בבאר שבע</w:t>
      </w:r>
    </w:p>
    <w:p w:rsidR="00EA0747" w:rsidRDefault="00EA0747" w:rsidP="00EA0747">
      <w:pPr>
        <w:suppressLineNumbers/>
        <w:rPr>
          <w:rtl/>
        </w:rPr>
      </w:pPr>
    </w:p>
    <w:p w:rsidR="00EA0747" w:rsidRDefault="007C0C9D" w:rsidP="00EA0747">
      <w:pPr>
        <w:rPr>
          <w:b/>
          <w:bCs/>
          <w:noProof w:val="0"/>
          <w:sz w:val="26"/>
          <w:szCs w:val="26"/>
        </w:rPr>
      </w:pPr>
      <w:sdt>
        <w:sdtPr>
          <w:rPr>
            <w:rtl/>
          </w:rPr>
          <w:alias w:val="1170"/>
          <w:tag w:val="1170"/>
          <w:id w:val="1066377040"/>
          <w:text w:multiLine="1"/>
        </w:sdtPr>
        <w:sdtEndPr/>
        <w:sdtContent>
          <w:r w:rsidR="00EA0747">
            <w:rPr>
              <w:b/>
              <w:bCs/>
              <w:noProof w:val="0"/>
              <w:sz w:val="26"/>
              <w:szCs w:val="26"/>
              <w:rtl/>
            </w:rPr>
            <w:br/>
          </w:r>
          <w:r w:rsidR="00EA0747">
            <w:rPr>
              <w:b/>
              <w:bCs/>
              <w:noProof w:val="0"/>
              <w:sz w:val="26"/>
              <w:szCs w:val="26"/>
              <w:rtl/>
            </w:rPr>
            <w:br/>
            <w:t>רמ"ש</w:t>
          </w:r>
        </w:sdtContent>
      </w:sdt>
      <w:r w:rsidR="00EA0747">
        <w:rPr>
          <w:b/>
          <w:bCs/>
          <w:noProof w:val="0"/>
          <w:sz w:val="26"/>
          <w:szCs w:val="26"/>
          <w:rtl/>
        </w:rPr>
        <w:t xml:space="preserve"> </w:t>
      </w:r>
      <w:sdt>
        <w:sdtPr>
          <w:rPr>
            <w:rtl/>
          </w:rPr>
          <w:alias w:val="1171"/>
          <w:tag w:val="1171"/>
          <w:id w:val="257034231"/>
          <w:text w:multiLine="1"/>
        </w:sdtPr>
        <w:sdtEndPr/>
        <w:sdtContent>
          <w:r w:rsidR="00EA0747">
            <w:rPr>
              <w:b/>
              <w:bCs/>
              <w:noProof w:val="0"/>
              <w:sz w:val="26"/>
              <w:szCs w:val="26"/>
              <w:rtl/>
            </w:rPr>
            <w:t>20326-06-24</w:t>
          </w:r>
        </w:sdtContent>
      </w:sdt>
      <w:r w:rsidR="00EA0747">
        <w:rPr>
          <w:b/>
          <w:bCs/>
          <w:noProof w:val="0"/>
          <w:sz w:val="26"/>
          <w:szCs w:val="26"/>
          <w:rtl/>
        </w:rPr>
        <w:t xml:space="preserve"> </w:t>
      </w:r>
      <w:sdt>
        <w:sdtPr>
          <w:rPr>
            <w:b/>
            <w:bCs/>
            <w:noProof w:val="0"/>
            <w:sz w:val="26"/>
            <w:szCs w:val="26"/>
            <w:rtl/>
          </w:rPr>
          <w:alias w:val="3154"/>
          <w:tag w:val="3154"/>
          <w:id w:val="-1714497037"/>
          <w:placeholder>
            <w:docPart w:val="359CD60A1DDC43EAB827100955D86178"/>
          </w:placeholder>
          <w:text w:multiLine="1"/>
        </w:sdtPr>
        <w:sdtEndPr/>
        <w:sdtContent>
          <w:r w:rsidR="00EA0747">
            <w:rPr>
              <w:rFonts w:hint="cs"/>
              <w:b/>
              <w:bCs/>
              <w:noProof w:val="0"/>
              <w:sz w:val="26"/>
              <w:szCs w:val="26"/>
              <w:rtl/>
            </w:rPr>
            <w:t xml:space="preserve">פלוני </w:t>
          </w:r>
          <w:r w:rsidR="00EA0747">
            <w:rPr>
              <w:b/>
              <w:bCs/>
              <w:noProof w:val="0"/>
              <w:sz w:val="26"/>
              <w:szCs w:val="26"/>
              <w:rtl/>
            </w:rPr>
            <w:t xml:space="preserve">נ' </w:t>
          </w:r>
          <w:r w:rsidR="00EA0747">
            <w:rPr>
              <w:rFonts w:hint="cs"/>
              <w:b/>
              <w:bCs/>
              <w:noProof w:val="0"/>
              <w:sz w:val="26"/>
              <w:szCs w:val="26"/>
              <w:rtl/>
            </w:rPr>
            <w:t xml:space="preserve">פלונית </w:t>
          </w:r>
        </w:sdtContent>
      </w:sdt>
      <w:r w:rsidR="00EA0747">
        <w:rPr>
          <w:b/>
          <w:bCs/>
          <w:noProof w:val="0"/>
          <w:sz w:val="26"/>
          <w:szCs w:val="26"/>
          <w:rtl/>
        </w:rPr>
        <w:t xml:space="preserve"> </w:t>
      </w:r>
    </w:p>
    <w:p w:rsidR="00EA0747" w:rsidRDefault="00EA0747" w:rsidP="00EA0747">
      <w:pPr>
        <w:rPr>
          <w:b/>
          <w:bCs/>
          <w:noProof w:val="0"/>
          <w:sz w:val="2"/>
          <w:szCs w:val="2"/>
          <w:rtl/>
        </w:rPr>
      </w:pPr>
    </w:p>
    <w:p w:rsidR="00EA0747" w:rsidRDefault="00EA0747" w:rsidP="00EA0747">
      <w:pPr>
        <w:rPr>
          <w:sz w:val="20"/>
          <w:szCs w:val="20"/>
          <w:rtl/>
        </w:rPr>
      </w:pPr>
      <w:r>
        <w:rPr>
          <w:rtl/>
        </w:rPr>
        <w:t xml:space="preserve">                           </w:t>
      </w:r>
      <w:r>
        <w:rPr>
          <w:sz w:val="20"/>
          <w:szCs w:val="20"/>
          <w:rtl/>
        </w:rPr>
        <w:t xml:space="preserve">                                       </w:t>
      </w:r>
    </w:p>
    <w:p w:rsidR="00EA0747" w:rsidRDefault="00EA0747" w:rsidP="00EA0747">
      <w:pPr>
        <w:suppressLineNumbers/>
        <w:rPr>
          <w:rtl/>
        </w:rPr>
      </w:pPr>
    </w:p>
    <w:p w:rsidR="00EA0747" w:rsidRDefault="00EA0747" w:rsidP="00EA0747">
      <w:pPr>
        <w:suppressLineNumbers/>
        <w:rPr>
          <w:rtl/>
        </w:rPr>
      </w:pPr>
    </w:p>
    <w:tbl>
      <w:tblPr>
        <w:tblStyle w:val="a4"/>
        <w:bidiVisual/>
        <w:tblW w:w="8820" w:type="dxa"/>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EA0747" w:rsidTr="00EA0747">
        <w:trPr>
          <w:jc w:val="center"/>
        </w:trPr>
        <w:tc>
          <w:tcPr>
            <w:tcW w:w="743" w:type="dxa"/>
            <w:hideMark/>
          </w:tcPr>
          <w:p w:rsidR="00EA0747" w:rsidRDefault="00EA0747">
            <w:pPr>
              <w:suppressLineNumbers/>
              <w:jc w:val="both"/>
              <w:rPr>
                <w:rFonts w:ascii="Arial" w:hAnsi="Arial"/>
                <w:b/>
                <w:bCs/>
                <w:sz w:val="26"/>
                <w:szCs w:val="26"/>
                <w:rtl/>
              </w:rPr>
            </w:pPr>
            <w:r>
              <w:rPr>
                <w:rFonts w:ascii="Arial" w:hAnsi="Arial"/>
                <w:b/>
                <w:bCs/>
                <w:sz w:val="26"/>
                <w:szCs w:val="26"/>
                <w:rtl/>
              </w:rPr>
              <w:t xml:space="preserve">לפני </w:t>
            </w:r>
          </w:p>
        </w:tc>
        <w:tc>
          <w:tcPr>
            <w:tcW w:w="8077" w:type="dxa"/>
            <w:gridSpan w:val="2"/>
          </w:tcPr>
          <w:p w:rsidR="00EA0747" w:rsidRDefault="00EA0747" w:rsidP="00EA0747">
            <w:pPr>
              <w:suppressLineNumbers/>
              <w:jc w:val="left"/>
              <w:rPr>
                <w:rFonts w:ascii="Arial" w:hAnsi="Arial"/>
                <w:b/>
                <w:bCs/>
                <w:sz w:val="26"/>
                <w:szCs w:val="26"/>
                <w:rtl/>
              </w:rPr>
            </w:pPr>
            <w:r>
              <w:rPr>
                <w:rFonts w:ascii="Arial" w:hAnsi="Arial"/>
                <w:b/>
                <w:bCs/>
                <w:sz w:val="26"/>
                <w:szCs w:val="26"/>
                <w:rtl/>
              </w:rPr>
              <w:t>כבוד ה</w:t>
            </w:r>
            <w:sdt>
              <w:sdtPr>
                <w:rPr>
                  <w:sz w:val="26"/>
                  <w:szCs w:val="26"/>
                  <w:rtl/>
                </w:rPr>
                <w:alias w:val="1574"/>
                <w:tag w:val="1574"/>
                <w:id w:val="414602899"/>
                <w:text w:multiLine="1"/>
              </w:sdtPr>
              <w:sdtEndPr/>
              <w:sdtContent>
                <w:r>
                  <w:rPr>
                    <w:rFonts w:ascii="Arial" w:hAnsi="Arial"/>
                    <w:b/>
                    <w:bCs/>
                    <w:sz w:val="26"/>
                    <w:szCs w:val="26"/>
                    <w:rtl/>
                  </w:rPr>
                  <w:t>שופטת</w:t>
                </w:r>
              </w:sdtContent>
            </w:sdt>
            <w:r>
              <w:rPr>
                <w:rFonts w:ascii="Arial" w:hAnsi="Arial"/>
                <w:b/>
                <w:bCs/>
                <w:sz w:val="26"/>
                <w:szCs w:val="26"/>
                <w:rtl/>
              </w:rPr>
              <w:t xml:space="preserve"> </w:t>
            </w:r>
            <w:sdt>
              <w:sdtPr>
                <w:rPr>
                  <w:sz w:val="26"/>
                  <w:szCs w:val="26"/>
                  <w:rtl/>
                </w:rPr>
                <w:alias w:val="1573"/>
                <w:tag w:val="1573"/>
                <w:id w:val="-1751030614"/>
                <w:text w:multiLine="1"/>
              </w:sdtPr>
              <w:sdtEndPr/>
              <w:sdtContent>
                <w:r>
                  <w:rPr>
                    <w:rFonts w:ascii="Arial" w:hAnsi="Arial"/>
                    <w:b/>
                    <w:bCs/>
                    <w:sz w:val="26"/>
                    <w:szCs w:val="26"/>
                    <w:rtl/>
                  </w:rPr>
                  <w:t>פאני גילת כהן</w:t>
                </w:r>
              </w:sdtContent>
            </w:sdt>
          </w:p>
          <w:p w:rsidR="00EA0747" w:rsidRDefault="00EA0747">
            <w:pPr>
              <w:suppressLineNumbers/>
              <w:rPr>
                <w:sz w:val="26"/>
                <w:szCs w:val="26"/>
                <w:rtl/>
              </w:rPr>
            </w:pPr>
          </w:p>
        </w:tc>
      </w:tr>
      <w:tr w:rsidR="00EA0747" w:rsidTr="00EA0747">
        <w:trPr>
          <w:jc w:val="center"/>
        </w:trPr>
        <w:tc>
          <w:tcPr>
            <w:tcW w:w="3249" w:type="dxa"/>
            <w:gridSpan w:val="2"/>
          </w:tcPr>
          <w:p w:rsidR="00EA0747" w:rsidRDefault="00EA0747">
            <w:pPr>
              <w:suppressLineNumbers/>
            </w:pPr>
          </w:p>
          <w:sdt>
            <w:sdtPr>
              <w:rPr>
                <w:rtl/>
              </w:rPr>
              <w:alias w:val="1180"/>
              <w:tag w:val="1180"/>
              <w:id w:val="637458750"/>
              <w:text w:multiLine="1"/>
            </w:sdtPr>
            <w:sdtEndPr/>
            <w:sdtContent>
              <w:p w:rsidR="00EA0747" w:rsidRDefault="00EA0747">
                <w:pPr>
                  <w:suppressLineNumbers/>
                  <w:jc w:val="left"/>
                  <w:rPr>
                    <w:rFonts w:ascii="Arial" w:hAnsi="Arial"/>
                    <w:b/>
                    <w:bCs/>
                    <w:noProof w:val="0"/>
                    <w:sz w:val="26"/>
                    <w:szCs w:val="26"/>
                    <w:rtl/>
                  </w:rPr>
                </w:pPr>
                <w:r>
                  <w:rPr>
                    <w:rFonts w:ascii="Arial" w:hAnsi="Arial"/>
                    <w:b/>
                    <w:bCs/>
                    <w:noProof w:val="0"/>
                    <w:sz w:val="26"/>
                    <w:szCs w:val="26"/>
                    <w:rtl/>
                  </w:rPr>
                  <w:t>המבקש</w:t>
                </w:r>
              </w:p>
            </w:sdtContent>
          </w:sdt>
        </w:tc>
        <w:tc>
          <w:tcPr>
            <w:tcW w:w="5571" w:type="dxa"/>
          </w:tcPr>
          <w:p w:rsidR="00EA0747" w:rsidRDefault="00EA0747">
            <w:pPr>
              <w:suppressLineNumbers/>
              <w:rPr>
                <w:rtl/>
              </w:rPr>
            </w:pPr>
          </w:p>
          <w:p w:rsidR="00EA0747" w:rsidRDefault="007C0C9D" w:rsidP="00EA0747">
            <w:pPr>
              <w:suppressLineNumbers/>
              <w:jc w:val="left"/>
              <w:rPr>
                <w:b/>
                <w:bCs/>
                <w:noProof w:val="0"/>
                <w:sz w:val="26"/>
                <w:szCs w:val="26"/>
                <w:rtl/>
              </w:rPr>
            </w:pPr>
            <w:sdt>
              <w:sdtPr>
                <w:rPr>
                  <w:rFonts w:ascii="Arial" w:hAnsi="Arial"/>
                  <w:b/>
                  <w:bCs/>
                  <w:noProof w:val="0"/>
                  <w:sz w:val="26"/>
                  <w:szCs w:val="26"/>
                  <w:rtl/>
                </w:rPr>
                <w:alias w:val="3151"/>
                <w:tag w:val="3151"/>
                <w:id w:val="1166218717"/>
                <w:placeholder>
                  <w:docPart w:val="08682CD889D040F783CEC1713B4DBDB2"/>
                </w:placeholder>
                <w:text w:multiLine="1"/>
              </w:sdtPr>
              <w:sdtEndPr/>
              <w:sdtContent>
                <w:r w:rsidR="00EA0747">
                  <w:rPr>
                    <w:rFonts w:ascii="Arial" w:hAnsi="Arial" w:hint="cs"/>
                    <w:b/>
                    <w:bCs/>
                    <w:noProof w:val="0"/>
                    <w:sz w:val="26"/>
                    <w:szCs w:val="26"/>
                    <w:rtl/>
                  </w:rPr>
                  <w:t>פלוני</w:t>
                </w:r>
                <w:r w:rsidR="00EA0747">
                  <w:rPr>
                    <w:rFonts w:ascii="Arial" w:hAnsi="Arial"/>
                    <w:b/>
                    <w:bCs/>
                    <w:noProof w:val="0"/>
                    <w:sz w:val="26"/>
                    <w:szCs w:val="26"/>
                    <w:rtl/>
                  </w:rPr>
                  <w:br/>
                  <w:t xml:space="preserve">באמצעות ב"כ עו"ד יגאל בן חיים </w:t>
                </w:r>
              </w:sdtContent>
            </w:sdt>
          </w:p>
        </w:tc>
      </w:tr>
      <w:tr w:rsidR="00EA0747" w:rsidTr="00EA0747">
        <w:trPr>
          <w:jc w:val="center"/>
        </w:trPr>
        <w:tc>
          <w:tcPr>
            <w:tcW w:w="8820" w:type="dxa"/>
            <w:gridSpan w:val="3"/>
          </w:tcPr>
          <w:p w:rsidR="00EA0747" w:rsidRDefault="00EA0747">
            <w:pPr>
              <w:suppressLineNumbers/>
              <w:rPr>
                <w:rFonts w:ascii="Arial" w:hAnsi="Arial"/>
                <w:b/>
                <w:bCs/>
                <w:noProof w:val="0"/>
                <w:sz w:val="26"/>
                <w:szCs w:val="26"/>
              </w:rPr>
            </w:pPr>
          </w:p>
          <w:p w:rsidR="00EA0747" w:rsidRDefault="00EA0747">
            <w:pPr>
              <w:suppressLineNumbers/>
              <w:jc w:val="center"/>
              <w:rPr>
                <w:rFonts w:ascii="Arial" w:hAnsi="Arial"/>
                <w:b/>
                <w:bCs/>
                <w:noProof w:val="0"/>
                <w:sz w:val="26"/>
                <w:szCs w:val="26"/>
                <w:rtl/>
              </w:rPr>
            </w:pPr>
          </w:p>
        </w:tc>
      </w:tr>
      <w:tr w:rsidR="00EA0747" w:rsidTr="00EA0747">
        <w:trPr>
          <w:jc w:val="center"/>
        </w:trPr>
        <w:tc>
          <w:tcPr>
            <w:tcW w:w="3249" w:type="dxa"/>
            <w:gridSpan w:val="2"/>
            <w:hideMark/>
          </w:tcPr>
          <w:p w:rsidR="00EA0747" w:rsidRDefault="007C0C9D" w:rsidP="00EA0747">
            <w:pPr>
              <w:suppressLineNumbers/>
              <w:jc w:val="left"/>
              <w:rPr>
                <w:rFonts w:ascii="Arial" w:hAnsi="Arial"/>
                <w:b/>
                <w:bCs/>
                <w:noProof w:val="0"/>
                <w:sz w:val="26"/>
                <w:szCs w:val="26"/>
              </w:rPr>
            </w:pPr>
            <w:sdt>
              <w:sdtPr>
                <w:rPr>
                  <w:rtl/>
                </w:rPr>
                <w:alias w:val="1184"/>
                <w:tag w:val="1184"/>
                <w:id w:val="-340621022"/>
                <w:text w:multiLine="1"/>
              </w:sdtPr>
              <w:sdtEndPr/>
              <w:sdtContent>
                <w:r w:rsidR="00EA0747">
                  <w:rPr>
                    <w:rFonts w:ascii="Arial" w:hAnsi="Arial"/>
                    <w:b/>
                    <w:bCs/>
                    <w:noProof w:val="0"/>
                    <w:sz w:val="26"/>
                    <w:szCs w:val="26"/>
                    <w:rtl/>
                  </w:rPr>
                  <w:t>המשיבה</w:t>
                </w:r>
              </w:sdtContent>
            </w:sdt>
          </w:p>
        </w:tc>
        <w:tc>
          <w:tcPr>
            <w:tcW w:w="5571" w:type="dxa"/>
            <w:hideMark/>
          </w:tcPr>
          <w:p w:rsidR="00EA0747" w:rsidRDefault="007C0C9D" w:rsidP="00EA0747">
            <w:pPr>
              <w:suppressLineNumbers/>
              <w:jc w:val="left"/>
              <w:rPr>
                <w:rFonts w:ascii="Arial" w:hAnsi="Arial"/>
                <w:b/>
                <w:bCs/>
                <w:noProof w:val="0"/>
                <w:sz w:val="26"/>
                <w:szCs w:val="26"/>
              </w:rPr>
            </w:pPr>
            <w:sdt>
              <w:sdtPr>
                <w:rPr>
                  <w:rFonts w:ascii="Arial" w:hAnsi="Arial"/>
                  <w:b/>
                  <w:bCs/>
                  <w:noProof w:val="0"/>
                  <w:sz w:val="26"/>
                  <w:szCs w:val="26"/>
                  <w:rtl/>
                </w:rPr>
                <w:alias w:val="3152"/>
                <w:tag w:val="3152"/>
                <w:id w:val="-1346628691"/>
                <w:placeholder>
                  <w:docPart w:val="D1099C2915EB4643BFE6B71DD081AF6C"/>
                </w:placeholder>
                <w:text w:multiLine="1"/>
              </w:sdtPr>
              <w:sdtEndPr/>
              <w:sdtContent>
                <w:r w:rsidR="00EA0747">
                  <w:rPr>
                    <w:rFonts w:ascii="Arial" w:hAnsi="Arial" w:hint="cs"/>
                    <w:b/>
                    <w:bCs/>
                    <w:noProof w:val="0"/>
                    <w:sz w:val="26"/>
                    <w:szCs w:val="26"/>
                    <w:rtl/>
                  </w:rPr>
                  <w:t>פלונית</w:t>
                </w:r>
                <w:r w:rsidR="00EA0747">
                  <w:rPr>
                    <w:rFonts w:ascii="Arial" w:hAnsi="Arial"/>
                    <w:b/>
                    <w:bCs/>
                    <w:noProof w:val="0"/>
                    <w:sz w:val="26"/>
                    <w:szCs w:val="26"/>
                    <w:rtl/>
                  </w:rPr>
                  <w:br/>
                  <w:t>באמצעות ב"כ עו"ד שרון ליכט פטרן</w:t>
                </w:r>
              </w:sdtContent>
            </w:sdt>
          </w:p>
        </w:tc>
      </w:tr>
      <w:tr w:rsidR="00EA0747" w:rsidTr="00EA0747">
        <w:trPr>
          <w:jc w:val="center"/>
        </w:trPr>
        <w:tc>
          <w:tcPr>
            <w:tcW w:w="8820" w:type="dxa"/>
            <w:gridSpan w:val="3"/>
          </w:tcPr>
          <w:p w:rsidR="00EA0747" w:rsidRDefault="00EA0747">
            <w:pPr>
              <w:suppressLineNumbers/>
              <w:rPr>
                <w:rtl/>
              </w:rPr>
            </w:pPr>
          </w:p>
        </w:tc>
      </w:tr>
    </w:tbl>
    <w:p w:rsidR="00EA0747" w:rsidRDefault="00EA0747" w:rsidP="00EA0747">
      <w:pPr>
        <w:suppressLineNumbers/>
        <w:rPr>
          <w:rtl/>
        </w:rPr>
      </w:pPr>
    </w:p>
    <w:tbl>
      <w:tblPr>
        <w:tblStyle w:val="a4"/>
        <w:bidiVisual/>
        <w:tblW w:w="8820" w:type="dxa"/>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EA0747" w:rsidTr="00EA0747">
        <w:trPr>
          <w:jc w:val="center"/>
        </w:trPr>
        <w:tc>
          <w:tcPr>
            <w:tcW w:w="8820" w:type="dxa"/>
          </w:tcPr>
          <w:p w:rsidR="00EA0747" w:rsidRDefault="00EA0747">
            <w:pPr>
              <w:bidi w:val="0"/>
              <w:jc w:val="center"/>
              <w:rPr>
                <w:rFonts w:ascii="Arial" w:hAnsi="Arial"/>
                <w:b/>
                <w:bCs/>
                <w:noProof w:val="0"/>
                <w:sz w:val="32"/>
                <w:szCs w:val="32"/>
                <w:u w:val="single"/>
                <w:rtl/>
              </w:rPr>
            </w:pPr>
            <w:r>
              <w:rPr>
                <w:rFonts w:ascii="Arial" w:hAnsi="Arial"/>
                <w:b/>
                <w:bCs/>
                <w:noProof w:val="0"/>
                <w:sz w:val="32"/>
                <w:szCs w:val="32"/>
                <w:u w:val="single"/>
                <w:rtl/>
              </w:rPr>
              <w:t>החלטה</w:t>
            </w:r>
          </w:p>
          <w:p w:rsidR="00EA0747" w:rsidRDefault="00EA0747">
            <w:pPr>
              <w:bidi w:val="0"/>
              <w:jc w:val="center"/>
              <w:rPr>
                <w:rFonts w:ascii="Arial" w:hAnsi="Arial"/>
                <w:b/>
                <w:bCs/>
                <w:noProof w:val="0"/>
                <w:sz w:val="28"/>
                <w:szCs w:val="28"/>
                <w:u w:val="single"/>
                <w:rtl/>
              </w:rPr>
            </w:pPr>
          </w:p>
        </w:tc>
      </w:tr>
    </w:tbl>
    <w:p w:rsidR="00EA0747" w:rsidRDefault="00EA0747" w:rsidP="00EA0747">
      <w:pPr>
        <w:pStyle w:val="a3"/>
        <w:spacing w:line="360" w:lineRule="auto"/>
        <w:ind w:left="85"/>
        <w:jc w:val="both"/>
        <w:rPr>
          <w:rFonts w:ascii="Arial" w:hAnsi="Arial"/>
          <w:noProof w:val="0"/>
        </w:rPr>
      </w:pPr>
      <w:bookmarkStart w:id="1" w:name="NGCSBookmark"/>
      <w:bookmarkEnd w:id="1"/>
      <w:r>
        <w:rPr>
          <w:rFonts w:ascii="Arial" w:hAnsi="Arial"/>
          <w:noProof w:val="0"/>
          <w:rtl/>
        </w:rPr>
        <w:t xml:space="preserve">מונחת לפניי בקשת רשות הערעור על החלטת בית המשפט לענייני משפחה באשדוד (כב' השופט רמי בז'ה) מיום 02.06.2024 בגדרה נדחתה בקשת המבקש לחיוב המשיבה בהפקדת ערובה כספית בסך 40,000 ₪ להבטחת כיסוי הוצאותיו ככל שהתביעה שהגישה נגדו תידחה ויושתו עליה הוצאות משפט. </w:t>
      </w:r>
    </w:p>
    <w:p w:rsidR="00EA0747" w:rsidRDefault="00EA0747" w:rsidP="00EA0747">
      <w:pPr>
        <w:pStyle w:val="a3"/>
        <w:spacing w:line="360" w:lineRule="auto"/>
        <w:ind w:left="85"/>
        <w:jc w:val="both"/>
        <w:rPr>
          <w:rFonts w:ascii="Arial" w:hAnsi="Arial"/>
          <w:noProof w:val="0"/>
          <w:rtl/>
        </w:rPr>
      </w:pPr>
    </w:p>
    <w:p w:rsidR="00EA0747" w:rsidRDefault="00EA0747" w:rsidP="00EA0747">
      <w:pPr>
        <w:spacing w:after="160" w:line="360" w:lineRule="auto"/>
        <w:ind w:hanging="57"/>
        <w:contextualSpacing/>
        <w:jc w:val="both"/>
        <w:rPr>
          <w:rFonts w:ascii="David" w:eastAsia="Calibri" w:hAnsi="David"/>
          <w:b/>
          <w:bCs/>
          <w:noProof w:val="0"/>
          <w:sz w:val="26"/>
          <w:szCs w:val="26"/>
          <w:u w:val="single"/>
          <w:rtl/>
        </w:rPr>
      </w:pPr>
      <w:r>
        <w:rPr>
          <w:rFonts w:ascii="David" w:eastAsia="Calibri" w:hAnsi="David"/>
          <w:b/>
          <w:bCs/>
          <w:noProof w:val="0"/>
          <w:sz w:val="26"/>
          <w:szCs w:val="26"/>
          <w:u w:val="single"/>
          <w:rtl/>
        </w:rPr>
        <w:t xml:space="preserve">ואלה העובדות הצריכות לעניין </w:t>
      </w:r>
    </w:p>
    <w:p w:rsidR="00EA0747" w:rsidRDefault="00EA0747" w:rsidP="00EA0747">
      <w:pPr>
        <w:pStyle w:val="a3"/>
        <w:spacing w:line="360" w:lineRule="auto"/>
        <w:ind w:left="85"/>
        <w:jc w:val="both"/>
        <w:rPr>
          <w:rFonts w:ascii="Arial" w:hAnsi="Arial"/>
          <w:noProof w:val="0"/>
        </w:rPr>
      </w:pPr>
      <w:r>
        <w:rPr>
          <w:rFonts w:ascii="Arial" w:hAnsi="Arial"/>
          <w:noProof w:val="0"/>
          <w:rtl/>
        </w:rPr>
        <w:t xml:space="preserve">הצדדים הם בני זוג לשעבר, אשר הכירו במהלך ביקור של המבקש </w:t>
      </w:r>
      <w:r>
        <w:rPr>
          <w:rFonts w:ascii="Arial" w:hAnsi="Arial" w:hint="cs"/>
          <w:noProof w:val="0"/>
          <w:rtl/>
        </w:rPr>
        <w:t>ב....</w:t>
      </w:r>
      <w:r>
        <w:rPr>
          <w:rFonts w:ascii="Arial" w:hAnsi="Arial"/>
          <w:noProof w:val="0"/>
          <w:rtl/>
        </w:rPr>
        <w:t xml:space="preserve"> בשנת 2012 וניהלו מערכת יחסים זוגית משך כעשור עד לפרידתם בחודש מאי אשתקד. המבקש ישראלי ואילו </w:t>
      </w:r>
      <w:r>
        <w:rPr>
          <w:rFonts w:ascii="Arial" w:hAnsi="Arial"/>
          <w:noProof w:val="0"/>
          <w:rtl/>
        </w:rPr>
        <w:lastRenderedPageBreak/>
        <w:t xml:space="preserve">המשיבה ילידת </w:t>
      </w:r>
      <w:r>
        <w:rPr>
          <w:rFonts w:ascii="Arial" w:hAnsi="Arial" w:hint="cs"/>
          <w:noProof w:val="0"/>
          <w:rtl/>
        </w:rPr>
        <w:t>....</w:t>
      </w:r>
      <w:r>
        <w:rPr>
          <w:rFonts w:ascii="Arial" w:hAnsi="Arial"/>
          <w:noProof w:val="0"/>
          <w:rtl/>
        </w:rPr>
        <w:t xml:space="preserve">, ומאז ביסוסה של מערכת היחסים הזוגית בין הצדדים ועד הלום היא תושבת ישראל. </w:t>
      </w:r>
    </w:p>
    <w:p w:rsidR="00EA0747" w:rsidRDefault="00EA0747" w:rsidP="00EA0747">
      <w:pPr>
        <w:pStyle w:val="a3"/>
        <w:spacing w:line="360" w:lineRule="auto"/>
        <w:ind w:left="85"/>
        <w:jc w:val="both"/>
        <w:rPr>
          <w:rFonts w:ascii="Arial" w:hAnsi="Arial"/>
          <w:noProof w:val="0"/>
          <w:rtl/>
        </w:rPr>
      </w:pPr>
    </w:p>
    <w:p w:rsidR="00EA0747" w:rsidRDefault="00EA0747" w:rsidP="00EA0747">
      <w:pPr>
        <w:pStyle w:val="a3"/>
        <w:spacing w:line="360" w:lineRule="auto"/>
        <w:ind w:left="85"/>
        <w:jc w:val="both"/>
        <w:rPr>
          <w:rFonts w:ascii="Arial" w:hAnsi="Arial"/>
          <w:noProof w:val="0"/>
          <w:rtl/>
        </w:rPr>
      </w:pPr>
      <w:r>
        <w:rPr>
          <w:rFonts w:ascii="Arial" w:hAnsi="Arial"/>
          <w:noProof w:val="0"/>
          <w:rtl/>
        </w:rPr>
        <w:t>ביום 13.06.2022 חתמו הצדדים על הסכם שהוכתר כ- "הסכם חיים משותפים – הפרדה רכושית מלאה" (להלן: "</w:t>
      </w:r>
      <w:r>
        <w:rPr>
          <w:rFonts w:ascii="Arial" w:hAnsi="Arial"/>
          <w:b/>
          <w:bCs/>
          <w:noProof w:val="0"/>
          <w:rtl/>
        </w:rPr>
        <w:t>ההסכם</w:t>
      </w:r>
      <w:r>
        <w:rPr>
          <w:rFonts w:ascii="Arial" w:hAnsi="Arial"/>
          <w:noProof w:val="0"/>
          <w:rtl/>
        </w:rPr>
        <w:t xml:space="preserve">"). </w:t>
      </w:r>
    </w:p>
    <w:p w:rsidR="00EA0747" w:rsidRDefault="00EA0747" w:rsidP="00EA0747">
      <w:pPr>
        <w:pStyle w:val="a3"/>
        <w:spacing w:line="360" w:lineRule="auto"/>
        <w:ind w:left="85"/>
        <w:jc w:val="both"/>
        <w:rPr>
          <w:rFonts w:ascii="Arial" w:hAnsi="Arial"/>
          <w:noProof w:val="0"/>
          <w:rtl/>
        </w:rPr>
      </w:pPr>
    </w:p>
    <w:p w:rsidR="00EA0747" w:rsidRDefault="00EA0747" w:rsidP="00EA0747">
      <w:pPr>
        <w:pStyle w:val="a3"/>
        <w:spacing w:line="360" w:lineRule="auto"/>
        <w:ind w:left="85"/>
        <w:jc w:val="both"/>
        <w:rPr>
          <w:rFonts w:ascii="Arial" w:hAnsi="Arial"/>
          <w:noProof w:val="0"/>
          <w:rtl/>
        </w:rPr>
      </w:pPr>
      <w:r>
        <w:rPr>
          <w:rFonts w:ascii="Arial" w:hAnsi="Arial"/>
          <w:noProof w:val="0"/>
          <w:rtl/>
        </w:rPr>
        <w:t xml:space="preserve">יחסי הצדדים עלו על שרטון, וכאמור, הם נפרדו זה מזו בחודש מאי אשתקד. בעקבות זאת פנתה המשיבה לבית המשפט לענייני משפחה בחודש יוני אשתקד ונקטה בהליך ליישוב סכסוך. </w:t>
      </w:r>
    </w:p>
    <w:p w:rsidR="00EA0747" w:rsidRDefault="00EA0747" w:rsidP="00EA0747">
      <w:pPr>
        <w:pStyle w:val="a3"/>
        <w:spacing w:line="360" w:lineRule="auto"/>
        <w:ind w:left="85"/>
        <w:jc w:val="both"/>
        <w:rPr>
          <w:rFonts w:ascii="Arial" w:hAnsi="Arial"/>
          <w:noProof w:val="0"/>
          <w:rtl/>
        </w:rPr>
      </w:pPr>
    </w:p>
    <w:p w:rsidR="00EA0747" w:rsidRDefault="00EA0747" w:rsidP="00EA0747">
      <w:pPr>
        <w:pStyle w:val="a3"/>
        <w:spacing w:line="360" w:lineRule="auto"/>
        <w:ind w:left="85"/>
        <w:jc w:val="both"/>
        <w:rPr>
          <w:rFonts w:ascii="Arial" w:hAnsi="Arial"/>
          <w:noProof w:val="0"/>
          <w:rtl/>
        </w:rPr>
      </w:pPr>
      <w:r>
        <w:rPr>
          <w:rFonts w:ascii="Arial" w:hAnsi="Arial"/>
          <w:noProof w:val="0"/>
          <w:rtl/>
        </w:rPr>
        <w:lastRenderedPageBreak/>
        <w:t xml:space="preserve">במאמר מוסגר יוער, כי בעקבות פרידת הצדדים הם זומנו בחודש יוני אשתקד לשימוע במשרד הפנים, על מנת להתחקות אחר נסיבות פרידתם ואודות אמיתות המידע שמסרו באשר לתקופה בה חלקו חיים משותפים. מן המונח לפניי עולה, כי טרם ניתנה החלטת רשות האוכלוסין וההגירה בעניין. </w:t>
      </w:r>
    </w:p>
    <w:p w:rsidR="00EA0747" w:rsidRDefault="00EA0747" w:rsidP="00EA0747">
      <w:pPr>
        <w:pStyle w:val="a3"/>
        <w:spacing w:line="360" w:lineRule="auto"/>
        <w:ind w:left="85"/>
        <w:jc w:val="both"/>
        <w:rPr>
          <w:rFonts w:ascii="Arial" w:hAnsi="Arial"/>
          <w:noProof w:val="0"/>
          <w:rtl/>
        </w:rPr>
      </w:pPr>
    </w:p>
    <w:p w:rsidR="00EA0747" w:rsidRDefault="00EA0747" w:rsidP="00EA0747">
      <w:pPr>
        <w:pStyle w:val="a3"/>
        <w:spacing w:line="360" w:lineRule="auto"/>
        <w:ind w:left="85"/>
        <w:jc w:val="both"/>
        <w:rPr>
          <w:rFonts w:ascii="Arial" w:hAnsi="Arial"/>
          <w:noProof w:val="0"/>
          <w:rtl/>
        </w:rPr>
      </w:pPr>
      <w:r>
        <w:rPr>
          <w:rFonts w:ascii="Arial" w:hAnsi="Arial"/>
          <w:noProof w:val="0"/>
          <w:rtl/>
        </w:rPr>
        <w:t xml:space="preserve">משהליך יישוב הסכסוך לא נשא פרי, הוא נסגר ביום 04.10.2023. </w:t>
      </w:r>
    </w:p>
    <w:p w:rsidR="00EA0747" w:rsidRDefault="00EA0747" w:rsidP="00EA0747">
      <w:pPr>
        <w:pStyle w:val="a3"/>
        <w:spacing w:line="360" w:lineRule="auto"/>
        <w:ind w:left="85"/>
        <w:jc w:val="both"/>
        <w:rPr>
          <w:rFonts w:ascii="Arial" w:hAnsi="Arial"/>
          <w:noProof w:val="0"/>
          <w:rtl/>
        </w:rPr>
      </w:pPr>
    </w:p>
    <w:p w:rsidR="00EA0747" w:rsidRDefault="00EA0747" w:rsidP="00EA0747">
      <w:pPr>
        <w:pStyle w:val="a3"/>
        <w:spacing w:line="360" w:lineRule="auto"/>
        <w:ind w:left="85"/>
        <w:jc w:val="both"/>
        <w:rPr>
          <w:rFonts w:ascii="Arial" w:hAnsi="Arial"/>
          <w:noProof w:val="0"/>
          <w:rtl/>
        </w:rPr>
      </w:pPr>
      <w:r>
        <w:rPr>
          <w:rFonts w:ascii="Arial" w:hAnsi="Arial"/>
          <w:noProof w:val="0"/>
          <w:rtl/>
        </w:rPr>
        <w:t xml:space="preserve">בעקבות זאת הגישה המשיבה ביום 19.10.2023 תביעה כנגד המבקש במסגרתה עתרה לביטול ההסכם בטענה כי חתמה עליו מתוך אילוץ, עושק וכפייה. כן עתרה לסעד הצהרתי לפיו היא </w:t>
      </w:r>
      <w:r>
        <w:rPr>
          <w:rFonts w:ascii="Arial" w:hAnsi="Arial"/>
          <w:noProof w:val="0"/>
          <w:rtl/>
        </w:rPr>
        <w:lastRenderedPageBreak/>
        <w:t xml:space="preserve">זכאית למחצית הזכויות שנצברו ע"י המבקש במהלך שנות הזוגיות שניהלו הצדדים – מחודש ינואר 2013 ועד לחודש מאי 2023 ולסעדים נלווים נוספים.  </w:t>
      </w:r>
    </w:p>
    <w:p w:rsidR="00EA0747" w:rsidRDefault="00EA0747" w:rsidP="00EA0747">
      <w:pPr>
        <w:pStyle w:val="a3"/>
        <w:spacing w:line="360" w:lineRule="auto"/>
        <w:ind w:left="85"/>
        <w:jc w:val="both"/>
        <w:rPr>
          <w:rFonts w:ascii="Arial" w:hAnsi="Arial"/>
          <w:noProof w:val="0"/>
          <w:rtl/>
        </w:rPr>
      </w:pPr>
    </w:p>
    <w:p w:rsidR="00EA0747" w:rsidRDefault="00EA0747" w:rsidP="00EA0747">
      <w:pPr>
        <w:pStyle w:val="a3"/>
        <w:spacing w:line="360" w:lineRule="auto"/>
        <w:ind w:left="85"/>
        <w:jc w:val="both"/>
        <w:rPr>
          <w:rFonts w:ascii="Arial" w:hAnsi="Arial"/>
          <w:noProof w:val="0"/>
          <w:rtl/>
        </w:rPr>
      </w:pPr>
      <w:r>
        <w:rPr>
          <w:rFonts w:ascii="Arial" w:hAnsi="Arial"/>
          <w:noProof w:val="0"/>
          <w:rtl/>
        </w:rPr>
        <w:t>יוער, כי בד בבד עם הגשת התביעה עתרה המשיבה גם להטלת צווי עיקול זמניים על נכסי המבקש ובקשתה נדחתה.</w:t>
      </w:r>
    </w:p>
    <w:p w:rsidR="00EA0747" w:rsidRDefault="00EA0747" w:rsidP="00EA0747">
      <w:pPr>
        <w:pStyle w:val="a3"/>
        <w:spacing w:line="360" w:lineRule="auto"/>
        <w:ind w:left="85"/>
        <w:jc w:val="both"/>
        <w:rPr>
          <w:rFonts w:ascii="Arial" w:hAnsi="Arial"/>
          <w:noProof w:val="0"/>
          <w:rtl/>
        </w:rPr>
      </w:pPr>
    </w:p>
    <w:p w:rsidR="00EA0747" w:rsidRDefault="00EA0747" w:rsidP="00EA0747">
      <w:pPr>
        <w:pStyle w:val="a3"/>
        <w:spacing w:line="360" w:lineRule="auto"/>
        <w:ind w:left="85"/>
        <w:jc w:val="both"/>
        <w:rPr>
          <w:rFonts w:ascii="Arial" w:hAnsi="Arial"/>
          <w:noProof w:val="0"/>
          <w:rtl/>
        </w:rPr>
      </w:pPr>
      <w:r>
        <w:rPr>
          <w:rFonts w:ascii="Arial" w:hAnsi="Arial"/>
          <w:noProof w:val="0"/>
          <w:rtl/>
        </w:rPr>
        <w:t xml:space="preserve">בכתב ההגנה שהגיש המבקש בעצמו הוכחשו על ידו טענות המשיבה באשר לטיבה של מערכת היחסים בין הצדדים ולכוונת השיתוף, ובתוך כך נטען על ידו, כי ההסכם מושא התובענה עיגן התנהלותם הכלכלית של הצדדים בפועל, דהיינו הפרדה רכושית וכלכלית מלאה. </w:t>
      </w:r>
    </w:p>
    <w:p w:rsidR="00EA0747" w:rsidRDefault="00EA0747" w:rsidP="00EA0747">
      <w:pPr>
        <w:pStyle w:val="a3"/>
        <w:spacing w:line="360" w:lineRule="auto"/>
        <w:ind w:left="85"/>
        <w:jc w:val="both"/>
        <w:rPr>
          <w:rFonts w:ascii="Arial" w:hAnsi="Arial"/>
          <w:noProof w:val="0"/>
          <w:rtl/>
        </w:rPr>
      </w:pPr>
    </w:p>
    <w:p w:rsidR="00EA0747" w:rsidRDefault="00EA0747" w:rsidP="00EA0747">
      <w:pPr>
        <w:pStyle w:val="a3"/>
        <w:spacing w:line="360" w:lineRule="auto"/>
        <w:ind w:left="85"/>
        <w:jc w:val="both"/>
        <w:rPr>
          <w:rFonts w:ascii="Arial" w:hAnsi="Arial"/>
          <w:noProof w:val="0"/>
          <w:rtl/>
        </w:rPr>
      </w:pPr>
      <w:r>
        <w:rPr>
          <w:rFonts w:ascii="Arial" w:hAnsi="Arial"/>
          <w:noProof w:val="0"/>
          <w:rtl/>
        </w:rPr>
        <w:lastRenderedPageBreak/>
        <w:t xml:space="preserve">ביני לביני שכר המבקש שירותיו של בא כוחו ומאז חודש מרץ השנה הוא מייצגו בהליך קמא. </w:t>
      </w:r>
    </w:p>
    <w:p w:rsidR="00EA0747" w:rsidRDefault="00EA0747" w:rsidP="00EA0747">
      <w:pPr>
        <w:pStyle w:val="a3"/>
        <w:spacing w:line="360" w:lineRule="auto"/>
        <w:ind w:left="85"/>
        <w:jc w:val="both"/>
        <w:rPr>
          <w:rFonts w:ascii="Arial" w:hAnsi="Arial"/>
          <w:noProof w:val="0"/>
          <w:rtl/>
        </w:rPr>
      </w:pPr>
    </w:p>
    <w:p w:rsidR="00EA0747" w:rsidRDefault="00EA0747" w:rsidP="00EA0747">
      <w:pPr>
        <w:pStyle w:val="a3"/>
        <w:spacing w:line="360" w:lineRule="auto"/>
        <w:ind w:left="85"/>
        <w:jc w:val="both"/>
        <w:rPr>
          <w:rFonts w:ascii="Arial" w:hAnsi="Arial"/>
          <w:noProof w:val="0"/>
          <w:rtl/>
        </w:rPr>
      </w:pPr>
      <w:r>
        <w:rPr>
          <w:rFonts w:ascii="Arial" w:hAnsi="Arial"/>
          <w:noProof w:val="0"/>
          <w:rtl/>
        </w:rPr>
        <w:t xml:space="preserve">ביום 15.05.2024 פנה המבקש לבית המשפט קמא בבקשה לחיוב המשיבה בהפקדת ערובה כספית בסך 40,000 ₪ להבטחת תשלום הוצאותיו בהליך וכתנאי להמשך ניהולו. המבקש ביסס  בקשתו, בין היתר, על ההחלטה בגדרה נדחתה עתירת המשיבה לסעד זמני בה נקבע, כי לא הונחה על ידה תשתית ראייתית מספקת להוכחת עילת תביעה לכאורית לביטול ההסכם מחמת עושק וכפייה; על החשש הנוגע למצבה הכלכלי של המשיבה וטענתו כי היא מחזיקה בכספים ובנכס מחוץ לגבולות המדינה; ועל החשש הנוגע למעמדה של המשיבה בארץ ומפני ביטול תושבות הקבע שלה, ובעקבות זאת, החשש מפני עזיבתה את הארץ תוך התחמקות מתשלום </w:t>
      </w:r>
      <w:r>
        <w:rPr>
          <w:rFonts w:ascii="Arial" w:hAnsi="Arial"/>
          <w:noProof w:val="0"/>
          <w:rtl/>
        </w:rPr>
        <w:lastRenderedPageBreak/>
        <w:t xml:space="preserve">הוצאות אשר ייפסקו לזכותו בתום ההליך והעדר יכולת להיפרע הימנה באמצעות הליכי גבייה בישראל. </w:t>
      </w:r>
    </w:p>
    <w:p w:rsidR="00EA0747" w:rsidRDefault="00EA0747" w:rsidP="00EA0747">
      <w:pPr>
        <w:pStyle w:val="a3"/>
        <w:spacing w:line="360" w:lineRule="auto"/>
        <w:ind w:left="85"/>
        <w:jc w:val="both"/>
        <w:rPr>
          <w:rFonts w:ascii="Arial" w:hAnsi="Arial"/>
          <w:noProof w:val="0"/>
          <w:rtl/>
        </w:rPr>
      </w:pPr>
    </w:p>
    <w:p w:rsidR="00EA0747" w:rsidRDefault="00EA0747" w:rsidP="00EA0747">
      <w:pPr>
        <w:pStyle w:val="a3"/>
        <w:spacing w:line="360" w:lineRule="auto"/>
        <w:ind w:left="85"/>
        <w:jc w:val="both"/>
        <w:rPr>
          <w:rFonts w:ascii="Arial" w:hAnsi="Arial"/>
          <w:noProof w:val="0"/>
          <w:rtl/>
        </w:rPr>
      </w:pPr>
      <w:r>
        <w:rPr>
          <w:rFonts w:ascii="Arial" w:hAnsi="Arial"/>
          <w:noProof w:val="0"/>
          <w:rtl/>
        </w:rPr>
        <w:t xml:space="preserve">בתגובת המשיבה לבקשה נטען, כי דין הבקשה להידחות, בין היתר עקב השיהוי בהגשתה ונוכח העיתוי בו הוגשה, בהינתן כי בהתאם להוראות הדין למעט רשימה סגורה של בקשות אין להגיש בקשות ובהן גם בקשה לחיוב תובע בהפקדת ערובה לאחר ישיבת קדם המשפט הראשונה; כי התניית הדיון בהליך בהפקדת ערובה ע"י המשיבה, בפרט  בשלב  בו מצוי ההליך, יגרום לעיוות דין כלפיה ויפגע בזכות הגישה שלה לערכאות, שהיא זכות יסוד בשיטתנו; וכי הבקשה אינה מגלה עילה לחריגה מן הכלל הנוהג בשיטתנו לפיו אין להתנות הפקדת ערובה ע"י תובע לצורך הדיון בתביעתו. </w:t>
      </w:r>
    </w:p>
    <w:p w:rsidR="00EA0747" w:rsidRDefault="00EA0747" w:rsidP="00EA0747">
      <w:pPr>
        <w:pStyle w:val="a3"/>
        <w:spacing w:line="360" w:lineRule="auto"/>
        <w:ind w:left="85"/>
        <w:jc w:val="both"/>
        <w:rPr>
          <w:rFonts w:ascii="Arial" w:hAnsi="Arial"/>
          <w:noProof w:val="0"/>
        </w:rPr>
      </w:pPr>
    </w:p>
    <w:p w:rsidR="00EA0747" w:rsidRDefault="00EA0747" w:rsidP="00EA0747">
      <w:pPr>
        <w:pStyle w:val="a3"/>
        <w:spacing w:line="360" w:lineRule="auto"/>
        <w:ind w:left="85"/>
        <w:jc w:val="both"/>
        <w:rPr>
          <w:rFonts w:ascii="Arial" w:hAnsi="Arial"/>
          <w:noProof w:val="0"/>
        </w:rPr>
      </w:pPr>
      <w:r>
        <w:rPr>
          <w:rFonts w:ascii="Arial" w:hAnsi="Arial"/>
          <w:noProof w:val="0"/>
          <w:rtl/>
        </w:rPr>
        <w:t xml:space="preserve">ביום 02.06.2024 ניתנה ההחלטה מושא בקשת רשות הערעור שלפנינו בגדרה דחה בית המשפט קמא בקשת המבקש, בקבעו, כי בהתאם לכלל שנקבע בפסיקה, אין להתנות זכות הגישה לערכאות בהפקדת ערובה כספית להבטחת הוצאות הנתבע, אלא רק במקרים חריגים, וכי המקרה שלפנינו אינו בא בגדרם. ברובד העובדתי, הנוגע לנסיבות המקרה דנא נקבע, כי המשיבה תושבת ישראל וכעולה מתגובתה מרכז חייה בישראל; וכי המבקש עצמו טען בבקשתו שלמשיבה יכולות כלכליות גבוהות והיא מחזיקה בכספים רבים ובנכס בארץ מוצאה. </w:t>
      </w:r>
    </w:p>
    <w:p w:rsidR="00EA0747" w:rsidRDefault="00EA0747" w:rsidP="00EA0747">
      <w:pPr>
        <w:pStyle w:val="a3"/>
        <w:spacing w:line="360" w:lineRule="auto"/>
        <w:ind w:left="85"/>
        <w:jc w:val="both"/>
        <w:rPr>
          <w:rFonts w:ascii="Arial" w:hAnsi="Arial"/>
          <w:noProof w:val="0"/>
          <w:rtl/>
        </w:rPr>
      </w:pPr>
    </w:p>
    <w:p w:rsidR="00EA0747" w:rsidRDefault="00EA0747" w:rsidP="00EA0747">
      <w:pPr>
        <w:spacing w:line="360" w:lineRule="auto"/>
        <w:jc w:val="both"/>
        <w:rPr>
          <w:rFonts w:ascii="Arial" w:hAnsi="Arial"/>
          <w:noProof w:val="0"/>
          <w:rtl/>
        </w:rPr>
      </w:pPr>
      <w:r>
        <w:rPr>
          <w:rFonts w:ascii="Arial" w:hAnsi="Arial"/>
          <w:noProof w:val="0"/>
          <w:rtl/>
        </w:rPr>
        <w:t xml:space="preserve">המבקש לא השלים עם ההחלטה והגיש בקשת רשות הערעור שלפנינו.  </w:t>
      </w:r>
    </w:p>
    <w:p w:rsidR="00EA0747" w:rsidRDefault="00EA0747" w:rsidP="00EA0747">
      <w:pPr>
        <w:rPr>
          <w:rFonts w:ascii="Arial" w:hAnsi="Arial"/>
          <w:noProof w:val="0"/>
        </w:rPr>
      </w:pPr>
    </w:p>
    <w:p w:rsidR="00EA0747" w:rsidRDefault="00EA0747" w:rsidP="00EA0747">
      <w:pPr>
        <w:spacing w:line="360" w:lineRule="auto"/>
        <w:jc w:val="both"/>
        <w:rPr>
          <w:rFonts w:ascii="Arial" w:hAnsi="Arial"/>
          <w:noProof w:val="0"/>
          <w:rtl/>
        </w:rPr>
      </w:pPr>
      <w:r>
        <w:rPr>
          <w:rFonts w:ascii="Arial" w:hAnsi="Arial"/>
          <w:noProof w:val="0"/>
          <w:rtl/>
        </w:rPr>
        <w:lastRenderedPageBreak/>
        <w:t xml:space="preserve">בהתאם להחלטה המורה לה לעשות כן, הגישה המשיבה תשובה לבקשת רשות הערעור, ומכאן ההחלטה דנא.  </w:t>
      </w:r>
    </w:p>
    <w:p w:rsidR="00EA0747" w:rsidRDefault="00EA0747" w:rsidP="00EA0747">
      <w:pPr>
        <w:pStyle w:val="a3"/>
        <w:rPr>
          <w:rFonts w:ascii="Arial" w:hAnsi="Arial"/>
          <w:noProof w:val="0"/>
        </w:rPr>
      </w:pPr>
    </w:p>
    <w:p w:rsidR="00EA0747" w:rsidRDefault="00EA0747" w:rsidP="00EA0747">
      <w:pPr>
        <w:pStyle w:val="a3"/>
        <w:spacing w:after="160" w:line="360" w:lineRule="auto"/>
        <w:ind w:left="0"/>
        <w:jc w:val="both"/>
        <w:rPr>
          <w:rFonts w:ascii="David" w:eastAsia="Calibri" w:hAnsi="David"/>
          <w:b/>
          <w:bCs/>
          <w:noProof w:val="0"/>
          <w:sz w:val="26"/>
          <w:szCs w:val="26"/>
          <w:u w:val="single"/>
          <w:rtl/>
        </w:rPr>
      </w:pPr>
      <w:r>
        <w:rPr>
          <w:rFonts w:ascii="David" w:eastAsia="Calibri" w:hAnsi="David"/>
          <w:b/>
          <w:bCs/>
          <w:noProof w:val="0"/>
          <w:sz w:val="26"/>
          <w:szCs w:val="26"/>
          <w:u w:val="single"/>
          <w:rtl/>
        </w:rPr>
        <w:t>תמצית טענות הצדדים בהליך שלפנינו</w:t>
      </w:r>
    </w:p>
    <w:p w:rsidR="00EA0747" w:rsidRDefault="00EA0747" w:rsidP="00EA0747">
      <w:pPr>
        <w:pStyle w:val="a3"/>
        <w:spacing w:line="360" w:lineRule="auto"/>
        <w:ind w:left="85"/>
        <w:jc w:val="both"/>
        <w:rPr>
          <w:rFonts w:ascii="Arial" w:hAnsi="Arial"/>
          <w:b/>
          <w:bCs/>
          <w:noProof w:val="0"/>
          <w:rtl/>
        </w:rPr>
      </w:pPr>
    </w:p>
    <w:p w:rsidR="00EA0747" w:rsidRDefault="00EA0747" w:rsidP="00EA0747">
      <w:pPr>
        <w:pStyle w:val="a3"/>
        <w:spacing w:line="360" w:lineRule="auto"/>
        <w:ind w:left="85"/>
        <w:jc w:val="both"/>
        <w:rPr>
          <w:rFonts w:ascii="Arial" w:hAnsi="Arial"/>
          <w:noProof w:val="0"/>
          <w:rtl/>
        </w:rPr>
      </w:pPr>
      <w:r>
        <w:rPr>
          <w:rFonts w:ascii="Arial" w:hAnsi="Arial"/>
          <w:b/>
          <w:bCs/>
          <w:noProof w:val="0"/>
          <w:rtl/>
        </w:rPr>
        <w:t>לטענת המבקש</w:t>
      </w:r>
      <w:r>
        <w:rPr>
          <w:rFonts w:ascii="Arial" w:hAnsi="Arial"/>
          <w:noProof w:val="0"/>
          <w:rtl/>
        </w:rPr>
        <w:t xml:space="preserve">, שגה בית המשפט קמא בקבעו כי המקרה דנא אינו נמנה עם המקרים החריגים שנקבעו בפסיקה כמצדיקים חיוב תובע בהפקדת ערובה, וזאת מן הטעמים הבאים: תביעת המשיבה היא תביעת סרק אשר הוגשה בשיהוי ניכר של כשנה וארבעה חודשים  ממועד החתימה על ההסכם; בדחותו הבקשה לסעד זמני שהוגשה ע"י המשיבה והבקשה לעיון מחדש בהחלטה  הדוחה אותה קבע בית המשפט קמא (ע"י מותב אחר), כי המשיבה לא הניחה תשתית ראייתית מספקת לביסוס עילת תביעה לכאורית באשר לטענות העושק והכפייה; השיהוי בהגשת הבקשה </w:t>
      </w:r>
      <w:r>
        <w:rPr>
          <w:rFonts w:ascii="Arial" w:hAnsi="Arial"/>
          <w:noProof w:val="0"/>
          <w:rtl/>
        </w:rPr>
        <w:lastRenderedPageBreak/>
        <w:t xml:space="preserve">נבע מן העובדה שהמבקש לא היה מיוצג בראשית ההליך ולא היה מודע לזכויותיו בעניין זה; למשיבה יכולות כלכלית גבוהות, ובתוך כך גם יכולת להפקדת הערובה המבוקשת, ומכאן שבחיובה לעשות כן לא תיפגע זכות הגישה שלה לערכאות; היות המשיבה אזרחית זרה ומעמדה כתושבת קבע עלול להתבטל בעקבות החלטה שתתקבל ע"י רשות האוכלוסין וההגירה, ומכל מקום, היא יכולה בכל רגע נתון, לרבות בכל שלב של ההליך המשפטי לעזוב את ישראל לצמיתות; ספק אם מרכז חייה של המשיבה הוא בישראל, בין היתר משום שחסכונותיה ורכושה מוחזקים במדינת המוצא שלה – </w:t>
      </w:r>
      <w:r>
        <w:rPr>
          <w:rFonts w:ascii="Arial" w:hAnsi="Arial" w:hint="cs"/>
          <w:noProof w:val="0"/>
          <w:rtl/>
        </w:rPr>
        <w:t>...</w:t>
      </w:r>
      <w:r>
        <w:rPr>
          <w:rFonts w:ascii="Arial" w:hAnsi="Arial"/>
          <w:noProof w:val="0"/>
          <w:rtl/>
        </w:rPr>
        <w:t xml:space="preserve"> והעובדה שאין לה משפחה וחברים קרובים בישראל; מבחינת המשיבה, הפקדת ערובה היא חלופה עדיפה על פני החלופה של עתירה לצו עיכוב יציאה מן הארץ כנגדה. לטענת המבקש, בנסיבות העניין נקט בית המשפט קמא בקפידה יתרה ביחס לגישה הנקוטה בידי בתי המשפט בהתייחס לבקשות ממין זה, תוך שמבקש </w:t>
      </w:r>
      <w:r>
        <w:rPr>
          <w:rFonts w:ascii="Arial" w:hAnsi="Arial"/>
          <w:noProof w:val="0"/>
          <w:rtl/>
        </w:rPr>
        <w:lastRenderedPageBreak/>
        <w:t xml:space="preserve">מתבסס, בין היתר, על הוראת תקנה 116א(ב) לתקנות בית הדין לעבודה (סדרי דין), תשנ"ב -1991 בגדרן נקבע, כי ככל שהתובע אינו תושב ישראל, ככלל יורה בית הדין, בהתאם לבקשת הנתבע, על הפקדת ערובה לתשלום הוצאותיו, אלא אם הראה התובע ראשית ראיה להוכחת תביעתו או הראה שהנתבע יוכל  לגבות ממנו הוצאות שייפסקו לזכותו ככל שהתביעה תידחה או במקרה בו החליט בית הדין לפטור את התובע מטעמים מיוחדים שיירשמו. </w:t>
      </w:r>
    </w:p>
    <w:p w:rsidR="00EA0747" w:rsidRDefault="00EA0747" w:rsidP="00EA0747">
      <w:pPr>
        <w:pStyle w:val="a3"/>
        <w:ind w:left="1080"/>
        <w:jc w:val="both"/>
        <w:rPr>
          <w:rFonts w:ascii="Arial" w:hAnsi="Arial"/>
          <w:noProof w:val="0"/>
          <w:rtl/>
        </w:rPr>
      </w:pPr>
    </w:p>
    <w:p w:rsidR="00EA0747" w:rsidRDefault="00EA0747" w:rsidP="00EA0747">
      <w:pPr>
        <w:pStyle w:val="a3"/>
        <w:spacing w:after="160" w:line="360" w:lineRule="auto"/>
        <w:ind w:left="85"/>
        <w:jc w:val="both"/>
        <w:rPr>
          <w:rFonts w:ascii="David" w:eastAsia="Calibri" w:hAnsi="David"/>
          <w:noProof w:val="0"/>
        </w:rPr>
      </w:pPr>
      <w:r>
        <w:rPr>
          <w:rFonts w:ascii="Arial" w:hAnsi="Arial"/>
          <w:b/>
          <w:bCs/>
          <w:noProof w:val="0"/>
          <w:rtl/>
        </w:rPr>
        <w:t>המשיבה</w:t>
      </w:r>
      <w:r>
        <w:rPr>
          <w:rFonts w:ascii="Arial" w:hAnsi="Arial"/>
          <w:noProof w:val="0"/>
          <w:rtl/>
        </w:rPr>
        <w:t xml:space="preserve"> מצדה טוענת, כי החלטת בית המשפט קמא נכונה ומוצדקת, והיא נשענת על הדין ועל קביעות עובדתיות, ומשכך אין מקום להתערב בה. לדידה, עניין לנו בסוגיה הנטועה בליבת שיקול הדעת של הערכאה הדיונית, וגם מטעם זה אין מקום להתערב בה. כן נטען על ידה, כי בהתאם לפסיקה, יש לעשות בתקנה 157 לתקנות סד"א, הרלוונטית לענייננו, שימוש במשורה ובמקרים חריגים בלבד בהתאם לאבני הבוחן שנקבעו: </w:t>
      </w:r>
      <w:r>
        <w:rPr>
          <w:rFonts w:ascii="Arial" w:hAnsi="Arial"/>
          <w:noProof w:val="0"/>
          <w:u w:val="single"/>
          <w:rtl/>
        </w:rPr>
        <w:t>תושבות חוץ של התובע</w:t>
      </w:r>
      <w:r>
        <w:rPr>
          <w:rFonts w:ascii="Arial" w:hAnsi="Arial"/>
          <w:noProof w:val="0"/>
          <w:rtl/>
        </w:rPr>
        <w:t xml:space="preserve"> – לטענת </w:t>
      </w:r>
      <w:r>
        <w:rPr>
          <w:rFonts w:ascii="Arial" w:hAnsi="Arial"/>
          <w:noProof w:val="0"/>
          <w:rtl/>
        </w:rPr>
        <w:lastRenderedPageBreak/>
        <w:t xml:space="preserve">המשיבה, מרכז חייה בעשור האחרון הוא בישראל, ובתוך כך היא מנהלת מערכת יחסים זוגית עם בן זוג ישראלי ובכוונתם להקים משפחה, היא עובדת בישראל, משלמת מיסים כחוק ואף חבריה מצויים בישראל. לטענתה, הליכי ההתאזרחות שלה מצויים בשלב מתקדם, ולראיה – העובדה שלמרות חלוף שנה מאז השימוע שנערך לה במשרד הפנים, מעמדה לא נפגע. בנוסף, יש לה נכסים בישראל, ומעבר לזכויותיה ברכוש המשותף, מושא התובענה קמא, היא צברה גם זכויות סוציאליות הרשומות על שמה בישראל בסכומים שדי בהם להבטיח פירעון הוצאות המשפט ככל שיושתו עליה בתום ההליך קמא; </w:t>
      </w:r>
      <w:r>
        <w:rPr>
          <w:rFonts w:ascii="David" w:eastAsia="Calibri" w:hAnsi="David"/>
          <w:noProof w:val="0"/>
          <w:u w:val="single"/>
          <w:rtl/>
        </w:rPr>
        <w:t>אי ציון מען עדכני בכתב התביעה</w:t>
      </w:r>
      <w:r>
        <w:rPr>
          <w:rFonts w:ascii="David" w:eastAsia="Calibri" w:hAnsi="David"/>
          <w:noProof w:val="0"/>
          <w:rtl/>
        </w:rPr>
        <w:t xml:space="preserve"> – המשיבה לא הסתירה את מענה בישראל והמבקש מודע לו; </w:t>
      </w:r>
      <w:r>
        <w:rPr>
          <w:rFonts w:ascii="David" w:eastAsia="Calibri" w:hAnsi="David"/>
          <w:noProof w:val="0"/>
          <w:u w:val="single"/>
          <w:rtl/>
        </w:rPr>
        <w:t xml:space="preserve">סיכויי התביעה </w:t>
      </w:r>
      <w:r>
        <w:rPr>
          <w:rFonts w:ascii="David" w:eastAsia="Calibri" w:hAnsi="David"/>
          <w:noProof w:val="0"/>
          <w:rtl/>
        </w:rPr>
        <w:t xml:space="preserve">– לשיטת המשיבה, סיכויי התביעה גבוהים מאד, ואין להסיק מהחלטות בית המשפט קמא בשאלת הסעד הזמני לעניין סיכויי התביעה. בנוסף, מן המסמכים שהתקבלו ממשרד הפנים עולה, שיש בהם הודאה מפי </w:t>
      </w:r>
      <w:r>
        <w:rPr>
          <w:rFonts w:ascii="David" w:eastAsia="Calibri" w:hAnsi="David"/>
          <w:noProof w:val="0"/>
          <w:rtl/>
        </w:rPr>
        <w:lastRenderedPageBreak/>
        <w:t xml:space="preserve">המבקש, כי לחץ על המשיבה לחתום על ההסכם; </w:t>
      </w:r>
      <w:r>
        <w:rPr>
          <w:rFonts w:ascii="David" w:eastAsia="Calibri" w:hAnsi="David"/>
          <w:noProof w:val="0"/>
          <w:u w:val="single"/>
          <w:rtl/>
        </w:rPr>
        <w:t>העדר יכולת כלכלית</w:t>
      </w:r>
      <w:r>
        <w:rPr>
          <w:rFonts w:ascii="David" w:eastAsia="Calibri" w:hAnsi="David"/>
          <w:noProof w:val="0"/>
          <w:rtl/>
        </w:rPr>
        <w:t xml:space="preserve"> – אף לטענת המבקש עצמו, יכולותיה הכלכליות של המשיבה גבוהות, ודי בכך כדי להטות הכף לעבר דחיית הבקשה. באשר להישענות המבקש על הוראת תקנה 116א(ב) לתקנות בית הדין לעבודה, טוענת המשיבה, כי יש לדחות זאת, שעה שהטענה הועלתה ע"י המבקש לראשונה בהליך דנא ולא בפני הערכאה הדיונית, ומכל מקום, היא רלוונטית להליכים המתנהלים בבתי הדין לעבודה בלבד, ומכל מקום במקרה דנא אין בה כדי לסייע למבקש, שעה שלמשיבה מעמד של תושבות קבע; עוד נטען על ידה, כי לא היה כל שיהוי בהגשת התביעה על ידה בהינתן המועד בו נפרדו הצדדים והמועד בו פנתה לראשונה לבית המשפט; כי על אף שלשיטתה סיכויי התביעה גבוהים מאד, בהתאם לפסיקה, ככלל, שיקול זה כשלעצמו לא יביא הערכאה הדיונית לחיוב בהפקדת ערובה, עקב הקושי להעריך בשלב מוקדם של ההליך את סיכויי התביעה; גם בעיתוי הגשת הבקשה ע"י </w:t>
      </w:r>
      <w:r>
        <w:rPr>
          <w:rFonts w:ascii="David" w:eastAsia="Calibri" w:hAnsi="David"/>
          <w:noProof w:val="0"/>
          <w:rtl/>
        </w:rPr>
        <w:lastRenderedPageBreak/>
        <w:t>המבקש בשיהוי ניכר, כשההליך בעיצומו, יש כדי להטות הכף לעבר דחיית הבקשה, משהפגיעה בזכות הגישה לערכאות בנסיבות הללו חמורה יותר, ואין בעובדה שהמבקש לא היה מיוצג בראשית ההליך כדי להצדיק הגשת הבקשה באיחור ותוך חריגה מלוח הזמנים הקבוע בדין; בנוסף, בקשת המבקש נשענת על תרחישים תיאורטיים ומופרכים ולא הובאה על ידו ולו ראשית ראייה לכך שאם ייפסקו לזכותו הוצאות, המשיבה לא תישא בהן, בעוד שדווקא הוא טרם נשא בתשלום ההוצאות שנפסקו לטובתה.</w:t>
      </w:r>
    </w:p>
    <w:p w:rsidR="00EA0747" w:rsidRDefault="00EA0747" w:rsidP="00EA0747">
      <w:pPr>
        <w:pStyle w:val="a3"/>
        <w:spacing w:after="160" w:line="360" w:lineRule="auto"/>
        <w:ind w:left="85"/>
        <w:jc w:val="both"/>
        <w:rPr>
          <w:rFonts w:ascii="David" w:eastAsia="Calibri" w:hAnsi="David"/>
          <w:noProof w:val="0"/>
          <w:u w:val="single"/>
        </w:rPr>
      </w:pPr>
    </w:p>
    <w:p w:rsidR="00EA0747" w:rsidRDefault="00EA0747" w:rsidP="00EA0747">
      <w:pPr>
        <w:pStyle w:val="a3"/>
        <w:spacing w:after="160" w:line="360" w:lineRule="auto"/>
        <w:ind w:left="85"/>
        <w:jc w:val="both"/>
        <w:rPr>
          <w:rFonts w:ascii="David" w:eastAsia="Calibri" w:hAnsi="David"/>
          <w:b/>
          <w:bCs/>
          <w:noProof w:val="0"/>
          <w:sz w:val="26"/>
          <w:szCs w:val="26"/>
          <w:u w:val="single"/>
        </w:rPr>
      </w:pPr>
      <w:r>
        <w:rPr>
          <w:rFonts w:ascii="David" w:eastAsia="Calibri" w:hAnsi="David"/>
          <w:b/>
          <w:bCs/>
          <w:noProof w:val="0"/>
          <w:sz w:val="26"/>
          <w:szCs w:val="26"/>
          <w:u w:val="single"/>
          <w:rtl/>
        </w:rPr>
        <w:t>דיון והכרעה</w:t>
      </w:r>
    </w:p>
    <w:p w:rsidR="00EA0747" w:rsidRDefault="00EA0747" w:rsidP="00EA0747">
      <w:pPr>
        <w:pStyle w:val="a3"/>
        <w:spacing w:after="160"/>
        <w:jc w:val="both"/>
        <w:rPr>
          <w:rFonts w:ascii="David" w:eastAsia="Calibri" w:hAnsi="David"/>
          <w:b/>
          <w:bCs/>
          <w:noProof w:val="0"/>
          <w:sz w:val="26"/>
          <w:szCs w:val="26"/>
          <w:u w:val="single"/>
        </w:rPr>
      </w:pPr>
    </w:p>
    <w:p w:rsidR="00EA0747" w:rsidRDefault="00EA0747" w:rsidP="00EA0747">
      <w:pPr>
        <w:pStyle w:val="a3"/>
        <w:spacing w:line="360" w:lineRule="auto"/>
        <w:ind w:left="85"/>
        <w:jc w:val="both"/>
        <w:rPr>
          <w:rFonts w:ascii="Arial" w:hAnsi="Arial"/>
          <w:noProof w:val="0"/>
          <w:rtl/>
        </w:rPr>
      </w:pPr>
      <w:r>
        <w:rPr>
          <w:rFonts w:ascii="Arial" w:hAnsi="Arial"/>
          <w:b/>
          <w:bCs/>
          <w:noProof w:val="0"/>
          <w:rtl/>
        </w:rPr>
        <w:t>על יסוד תקנה 138(א)(5) לתקנות סדר הדין האזרחי, תשע"ט-2018 ולאחר עיון באשר מונח לפניי ובתיק המתנהל בבית המשפט קמא, מצאתי לדחות הבקשה מהנימוקים שיובאו להלן.</w:t>
      </w:r>
    </w:p>
    <w:p w:rsidR="00EA0747" w:rsidRDefault="00EA0747" w:rsidP="00EA0747">
      <w:pPr>
        <w:pStyle w:val="a3"/>
        <w:spacing w:line="360" w:lineRule="auto"/>
        <w:ind w:left="85"/>
        <w:jc w:val="both"/>
        <w:rPr>
          <w:rFonts w:ascii="Arial" w:hAnsi="Arial"/>
          <w:noProof w:val="0"/>
          <w:rtl/>
        </w:rPr>
      </w:pPr>
    </w:p>
    <w:p w:rsidR="00EA0747" w:rsidRDefault="00EA0747" w:rsidP="00EA0747">
      <w:pPr>
        <w:spacing w:line="360" w:lineRule="auto"/>
        <w:jc w:val="both"/>
        <w:rPr>
          <w:rFonts w:ascii="Arial" w:hAnsi="Arial"/>
          <w:noProof w:val="0"/>
          <w:rtl/>
        </w:rPr>
      </w:pPr>
      <w:r>
        <w:rPr>
          <w:rFonts w:ascii="Arial" w:hAnsi="Arial"/>
          <w:noProof w:val="0"/>
          <w:rtl/>
        </w:rPr>
        <w:t xml:space="preserve">תקנה 157(א) לתקנות סדר הדין האזרחי, התשע"ט – 2018 (להלן: </w:t>
      </w:r>
      <w:r>
        <w:rPr>
          <w:rFonts w:ascii="Arial" w:hAnsi="Arial"/>
          <w:b/>
          <w:bCs/>
          <w:noProof w:val="0"/>
          <w:rtl/>
        </w:rPr>
        <w:t>"תקנות סד"א"</w:t>
      </w:r>
      <w:r>
        <w:rPr>
          <w:rFonts w:ascii="Arial" w:hAnsi="Arial"/>
          <w:noProof w:val="0"/>
          <w:rtl/>
        </w:rPr>
        <w:t xml:space="preserve">) אשר החליפה את תקנה 519(א) לתקנות סדר הדין האזרחי, התשמ"ד – 1984, ונוסחן דומה, מעניקה לבית המשפט שיקול דעת לחיוב תובע בהפקדת ערובה לתשלום הוצאות הנתבע. </w:t>
      </w:r>
    </w:p>
    <w:p w:rsidR="00EA0747" w:rsidRDefault="00EA0747" w:rsidP="00EA0747">
      <w:pPr>
        <w:jc w:val="both"/>
        <w:rPr>
          <w:rFonts w:ascii="Arial" w:hAnsi="Arial"/>
          <w:noProof w:val="0"/>
          <w:rtl/>
        </w:rPr>
      </w:pPr>
    </w:p>
    <w:p w:rsidR="00EA0747" w:rsidRDefault="00EA0747" w:rsidP="00EA0747">
      <w:pPr>
        <w:pStyle w:val="a3"/>
        <w:spacing w:line="360" w:lineRule="auto"/>
        <w:ind w:left="85"/>
        <w:jc w:val="both"/>
        <w:rPr>
          <w:rFonts w:ascii="Arial" w:hAnsi="Arial"/>
          <w:noProof w:val="0"/>
          <w:rtl/>
        </w:rPr>
      </w:pPr>
      <w:r>
        <w:rPr>
          <w:rFonts w:ascii="Arial" w:hAnsi="Arial"/>
          <w:noProof w:val="0"/>
          <w:rtl/>
        </w:rPr>
        <w:t xml:space="preserve">תכלית ההוראה היא להבטיח תשלום הוצאותיו של הנתבע כאשר בית המשפט סבור, למשל, כי מדובר בתביעת סרק או כי סיכויי ההליך קלושים [ראו למשל: רע"א 1007/08 </w:t>
      </w:r>
      <w:r>
        <w:rPr>
          <w:rFonts w:ascii="Arial" w:hAnsi="Arial"/>
          <w:b/>
          <w:bCs/>
          <w:noProof w:val="0"/>
          <w:rtl/>
        </w:rPr>
        <w:t>עזבון המנוח עלי ג'אליה נ' מדינת ישראל</w:t>
      </w:r>
      <w:r>
        <w:rPr>
          <w:rFonts w:ascii="Arial" w:hAnsi="Arial"/>
          <w:noProof w:val="0"/>
          <w:rtl/>
        </w:rPr>
        <w:t xml:space="preserve">, פסקה 5, פורסם במאגרים האלקטרוניים (31.01.2010)]. </w:t>
      </w:r>
    </w:p>
    <w:p w:rsidR="00EA0747" w:rsidRDefault="00EA0747" w:rsidP="00EA0747">
      <w:pPr>
        <w:pStyle w:val="a3"/>
        <w:spacing w:line="360" w:lineRule="auto"/>
        <w:ind w:left="369"/>
        <w:jc w:val="both"/>
        <w:rPr>
          <w:rFonts w:ascii="Arial" w:hAnsi="Arial"/>
          <w:noProof w:val="0"/>
          <w:rtl/>
        </w:rPr>
      </w:pPr>
    </w:p>
    <w:p w:rsidR="00EA0747" w:rsidRDefault="00EA0747" w:rsidP="00EA0747">
      <w:pPr>
        <w:pStyle w:val="a3"/>
        <w:spacing w:line="360" w:lineRule="auto"/>
        <w:ind w:left="85"/>
        <w:jc w:val="both"/>
        <w:rPr>
          <w:rFonts w:ascii="Arial" w:hAnsi="Arial"/>
          <w:noProof w:val="0"/>
          <w:rtl/>
        </w:rPr>
      </w:pPr>
      <w:r>
        <w:rPr>
          <w:rFonts w:ascii="Arial" w:hAnsi="Arial"/>
          <w:noProof w:val="0"/>
          <w:rtl/>
        </w:rPr>
        <w:t xml:space="preserve">אמנם בתקנה האמורה לא נקבעו אמות המידה להפעלת סמכותו של בית המשפט, אך הפסיקה  התוותה שיקולים שונים שנועדו להנחות את בתי המשפט בבואם לבחון בקשה לחיוב תובע </w:t>
      </w:r>
      <w:r>
        <w:rPr>
          <w:rFonts w:ascii="Arial" w:hAnsi="Arial"/>
          <w:noProof w:val="0"/>
          <w:rtl/>
        </w:rPr>
        <w:lastRenderedPageBreak/>
        <w:t xml:space="preserve">בהפקדת ערובה להבטחת כיסוי הוצאות הנתבע בהליך אזרחי בו נקט [ראו למשל: רע"א 2142/12 </w:t>
      </w:r>
      <w:r>
        <w:rPr>
          <w:rFonts w:ascii="Arial" w:hAnsi="Arial"/>
          <w:b/>
          <w:bCs/>
          <w:noProof w:val="0"/>
          <w:rtl/>
        </w:rPr>
        <w:t>נעמאת נ' קרמין</w:t>
      </w:r>
      <w:r>
        <w:rPr>
          <w:rFonts w:ascii="Arial" w:hAnsi="Arial"/>
          <w:noProof w:val="0"/>
          <w:rtl/>
        </w:rPr>
        <w:t xml:space="preserve">, פסקה 7, פורסם במאגרים האלקטרוניים (13.11.2014)]. </w:t>
      </w:r>
    </w:p>
    <w:p w:rsidR="00EA0747" w:rsidRDefault="00EA0747" w:rsidP="00EA0747">
      <w:pPr>
        <w:pStyle w:val="a3"/>
        <w:spacing w:line="360" w:lineRule="auto"/>
        <w:ind w:left="369"/>
        <w:jc w:val="both"/>
        <w:rPr>
          <w:rFonts w:ascii="Arial" w:hAnsi="Arial"/>
          <w:noProof w:val="0"/>
          <w:rtl/>
        </w:rPr>
      </w:pPr>
    </w:p>
    <w:p w:rsidR="00EA0747" w:rsidRDefault="00EA0747" w:rsidP="00EA0747">
      <w:pPr>
        <w:pStyle w:val="a3"/>
        <w:spacing w:line="360" w:lineRule="auto"/>
        <w:ind w:left="85"/>
        <w:jc w:val="both"/>
        <w:rPr>
          <w:rFonts w:ascii="Arial" w:hAnsi="Arial"/>
          <w:noProof w:val="0"/>
          <w:rtl/>
        </w:rPr>
      </w:pPr>
      <w:r>
        <w:rPr>
          <w:rFonts w:ascii="Arial" w:hAnsi="Arial"/>
          <w:noProof w:val="0"/>
          <w:rtl/>
        </w:rPr>
        <w:t xml:space="preserve">הכלל שנתגבש בפסיקה, הוא שאין להתנות זכותו של תובע לבירור תביעה שהגיש לערכאה שיפוטית בהפקדת ערובה כספית להבטחת הוצאות הנתבע, אלא בנסיבות חריגות, נוכח הפגיעה האפשרית הגלומה בכך בזכות הגישה לערכאות, ומכאן נגזרת גם חובתו של בית המשפט לנקוט משנה זהירות ומתינות בהפעלת שיקול הדעת המוקנה לו בעניין זה [ראו למשל: רע"א 197/15 </w:t>
      </w:r>
      <w:r>
        <w:rPr>
          <w:rFonts w:ascii="Arial" w:hAnsi="Arial"/>
          <w:b/>
          <w:bCs/>
          <w:noProof w:val="0"/>
          <w:rtl/>
        </w:rPr>
        <w:t>עזבון המנוח אבלין מנסור ז"ל נ' חורי</w:t>
      </w:r>
      <w:r>
        <w:rPr>
          <w:rFonts w:ascii="Arial" w:hAnsi="Arial"/>
          <w:noProof w:val="0"/>
          <w:rtl/>
        </w:rPr>
        <w:t xml:space="preserve">, פורסם במאגרים האלקטרוניים (21.04.2015); ע"א 477/19 </w:t>
      </w:r>
      <w:r>
        <w:rPr>
          <w:rFonts w:ascii="Arial" w:hAnsi="Arial"/>
          <w:b/>
          <w:bCs/>
          <w:noProof w:val="0"/>
          <w:rtl/>
        </w:rPr>
        <w:t>חברת ג'י בי אם בניה בע"מ נ' מנהל מע"מ לוד</w:t>
      </w:r>
      <w:r>
        <w:rPr>
          <w:rFonts w:ascii="Arial" w:hAnsi="Arial"/>
          <w:noProof w:val="0"/>
          <w:rtl/>
        </w:rPr>
        <w:t xml:space="preserve">, פורסם במאגרים האלקטרוניים (02.02.2021)]. </w:t>
      </w:r>
    </w:p>
    <w:p w:rsidR="00EA0747" w:rsidRDefault="00EA0747" w:rsidP="00EA0747">
      <w:pPr>
        <w:pStyle w:val="a3"/>
        <w:spacing w:line="360" w:lineRule="auto"/>
        <w:ind w:left="85"/>
        <w:jc w:val="both"/>
        <w:rPr>
          <w:rFonts w:ascii="Arial" w:hAnsi="Arial"/>
          <w:noProof w:val="0"/>
          <w:rtl/>
        </w:rPr>
      </w:pPr>
    </w:p>
    <w:p w:rsidR="00EA0747" w:rsidRDefault="00EA0747" w:rsidP="00EA0747">
      <w:pPr>
        <w:pStyle w:val="a3"/>
        <w:spacing w:line="360" w:lineRule="auto"/>
        <w:ind w:left="85"/>
        <w:jc w:val="both"/>
        <w:rPr>
          <w:rFonts w:ascii="Arial" w:hAnsi="Arial"/>
          <w:noProof w:val="0"/>
          <w:rtl/>
        </w:rPr>
      </w:pPr>
      <w:r>
        <w:rPr>
          <w:rFonts w:ascii="Arial" w:hAnsi="Arial"/>
          <w:noProof w:val="0"/>
          <w:rtl/>
        </w:rPr>
        <w:t xml:space="preserve">צא ולמד, כי ברירת המחדל היא אי חיוב תובע בהפקדת ערובה להבטחת הוצאות הנתבע כתנאי לניהול ההליך אותו יזם, וככל שהנתבע עומד על חריגה מן הכלל האמור וחיוב התובע בהפקדת ערובה, כי אז עליו לצלוח משוכה גבוהה יחסית ולשכנע את בית המשפט, כי על זכות הגישה לערכאות של התובע לסגת מפני זכות הקניין שלו והחשש מפני חסרון הכיס אשר עלול להיגרם לו. </w:t>
      </w:r>
    </w:p>
    <w:p w:rsidR="00EA0747" w:rsidRDefault="00EA0747" w:rsidP="00EA0747">
      <w:pPr>
        <w:pStyle w:val="a3"/>
        <w:spacing w:line="360" w:lineRule="auto"/>
        <w:ind w:left="369"/>
        <w:jc w:val="both"/>
        <w:rPr>
          <w:rFonts w:ascii="Arial" w:hAnsi="Arial"/>
          <w:noProof w:val="0"/>
          <w:rtl/>
        </w:rPr>
      </w:pPr>
    </w:p>
    <w:p w:rsidR="00EA0747" w:rsidRDefault="00EA0747" w:rsidP="00EA0747">
      <w:pPr>
        <w:pStyle w:val="a3"/>
        <w:spacing w:line="360" w:lineRule="auto"/>
        <w:ind w:left="85"/>
        <w:jc w:val="both"/>
        <w:rPr>
          <w:rFonts w:ascii="Arial" w:hAnsi="Arial"/>
          <w:noProof w:val="0"/>
          <w:rtl/>
        </w:rPr>
      </w:pPr>
      <w:r>
        <w:rPr>
          <w:rFonts w:ascii="Arial" w:hAnsi="Arial"/>
          <w:noProof w:val="0"/>
          <w:rtl/>
        </w:rPr>
        <w:t xml:space="preserve">אחד החריגים שהוכרו בפסיקה לכלל בדבר אי הפקדת ערובה כספית להבטחת הוצאות הנתבע הוא כאשר התובע הוא תושב חוץ, ואין באפשרותו להראות כי הוא מחזיק נכסים בישראל מהם יוכל להיפרע הנתבע, ככל שתביעתו תידחה וייפסקו הוצאות לטובת הנתבע. </w:t>
      </w:r>
    </w:p>
    <w:p w:rsidR="00EA0747" w:rsidRDefault="00EA0747" w:rsidP="00EA0747">
      <w:pPr>
        <w:pStyle w:val="a3"/>
        <w:spacing w:line="360" w:lineRule="auto"/>
        <w:ind w:left="85"/>
        <w:jc w:val="both"/>
        <w:rPr>
          <w:rFonts w:ascii="Arial" w:hAnsi="Arial"/>
          <w:noProof w:val="0"/>
          <w:rtl/>
        </w:rPr>
      </w:pPr>
      <w:r>
        <w:rPr>
          <w:rFonts w:ascii="Arial" w:hAnsi="Arial"/>
          <w:noProof w:val="0"/>
          <w:rtl/>
        </w:rPr>
        <w:lastRenderedPageBreak/>
        <w:t xml:space="preserve">ברם, אין המדובר בשיקול יחיד, ובית המשפט רשאי להביא בחשבון שיקולים רלוונטיים נוספים על מנת לאזן כראוי בין זכות הגישה לערכאות של התובע ובין אינטרס הנתבע להבטחת כיסוי הוצאותיו [ראו למשל: רע"א 6066/00 </w:t>
      </w:r>
      <w:r>
        <w:rPr>
          <w:rFonts w:ascii="Arial" w:hAnsi="Arial"/>
          <w:b/>
          <w:bCs/>
          <w:noProof w:val="0"/>
          <w:rtl/>
        </w:rPr>
        <w:t>אעדילי נ' חב' סלקום ישראל בע"מ</w:t>
      </w:r>
      <w:r>
        <w:rPr>
          <w:rFonts w:ascii="Arial" w:hAnsi="Arial"/>
          <w:noProof w:val="0"/>
          <w:rtl/>
        </w:rPr>
        <w:t>, פסקה 4, פורסם במאגרים האלקטרוניים (17.04.2001].</w:t>
      </w:r>
    </w:p>
    <w:p w:rsidR="00EA0747" w:rsidRDefault="00EA0747" w:rsidP="00EA0747">
      <w:pPr>
        <w:pStyle w:val="a3"/>
        <w:spacing w:line="360" w:lineRule="auto"/>
        <w:ind w:left="369"/>
        <w:jc w:val="both"/>
        <w:rPr>
          <w:rFonts w:ascii="Arial" w:hAnsi="Arial"/>
          <w:noProof w:val="0"/>
          <w:rtl/>
        </w:rPr>
      </w:pPr>
    </w:p>
    <w:p w:rsidR="00EA0747" w:rsidRDefault="00EA0747" w:rsidP="00EA0747">
      <w:pPr>
        <w:pStyle w:val="a3"/>
        <w:spacing w:line="360" w:lineRule="auto"/>
        <w:ind w:left="85"/>
        <w:jc w:val="both"/>
        <w:rPr>
          <w:rFonts w:ascii="Arial" w:hAnsi="Arial"/>
          <w:noProof w:val="0"/>
          <w:rtl/>
        </w:rPr>
      </w:pPr>
      <w:r>
        <w:rPr>
          <w:rFonts w:ascii="Arial" w:hAnsi="Arial"/>
          <w:noProof w:val="0"/>
          <w:rtl/>
        </w:rPr>
        <w:t xml:space="preserve">עוד נקבע בפסיקה, כי </w:t>
      </w:r>
      <w:r>
        <w:rPr>
          <w:rFonts w:ascii="Arial" w:hAnsi="Arial"/>
          <w:b/>
          <w:bCs/>
          <w:noProof w:val="0"/>
          <w:rtl/>
        </w:rPr>
        <w:t>"עיקר העיקרים הוא שלא תיחסם דרכו של התובע הלגיטימי, וישנה מעין 'מקבילית כוחות' בין סיכויי ההליך מזה, יכולת התובע מזה, וזכות הגישה לערכאות שברקע הנורמטיבי. לבית המשפט מסור שיקול דעת רחב, ועליו לשקול, בכל מקרה, על פי נסיבותיו, את סיכויי ההליך, מורכבותו, מיהות הצדדים ותום ליבם"</w:t>
      </w:r>
      <w:r>
        <w:rPr>
          <w:rFonts w:ascii="Arial" w:hAnsi="Arial"/>
          <w:noProof w:val="0"/>
          <w:rtl/>
        </w:rPr>
        <w:t xml:space="preserve"> [בע"מ 1171/16 </w:t>
      </w:r>
      <w:r>
        <w:rPr>
          <w:rFonts w:ascii="Arial" w:hAnsi="Arial"/>
          <w:b/>
          <w:bCs/>
          <w:noProof w:val="0"/>
          <w:rtl/>
        </w:rPr>
        <w:t>פלוני נ' פלוני</w:t>
      </w:r>
      <w:r>
        <w:rPr>
          <w:rFonts w:ascii="Arial" w:hAnsi="Arial"/>
          <w:noProof w:val="0"/>
          <w:rtl/>
        </w:rPr>
        <w:t xml:space="preserve">, פורסם במאגרים האלקטרוניים (18.02.2016)].  </w:t>
      </w:r>
    </w:p>
    <w:p w:rsidR="00EA0747" w:rsidRDefault="00EA0747" w:rsidP="00EA0747">
      <w:pPr>
        <w:pStyle w:val="a3"/>
        <w:ind w:left="369"/>
        <w:jc w:val="both"/>
        <w:rPr>
          <w:rFonts w:ascii="Arial" w:hAnsi="Arial"/>
          <w:noProof w:val="0"/>
          <w:rtl/>
        </w:rPr>
      </w:pPr>
    </w:p>
    <w:p w:rsidR="00EA0747" w:rsidRDefault="00EA0747" w:rsidP="00EA0747">
      <w:pPr>
        <w:pStyle w:val="a3"/>
        <w:spacing w:line="360" w:lineRule="auto"/>
        <w:ind w:left="85"/>
        <w:jc w:val="both"/>
        <w:rPr>
          <w:rFonts w:ascii="Arial" w:hAnsi="Arial"/>
          <w:noProof w:val="0"/>
          <w:rtl/>
        </w:rPr>
      </w:pPr>
      <w:r>
        <w:rPr>
          <w:rFonts w:ascii="Arial" w:hAnsi="Arial"/>
          <w:noProof w:val="0"/>
          <w:rtl/>
        </w:rPr>
        <w:t xml:space="preserve">בנוסף, כידוע, אין דרכה של ערכאת הערעור להתערב בהחלטות הערכאה הדיונית אשר נושאות אופי דיוני, ובכלל זה החלטות שעניינן הפקדת ערובה, אלא במקרים חריגים בהם החיוב עשוי לפגוע באופן בלתי מידתי בזכות הגישה לערכאות של התובע או בזכות הקניין של הנתבע [רע"א 3255/18 </w:t>
      </w:r>
      <w:r>
        <w:rPr>
          <w:rFonts w:ascii="Arial" w:hAnsi="Arial"/>
          <w:b/>
          <w:bCs/>
          <w:noProof w:val="0"/>
          <w:rtl/>
        </w:rPr>
        <w:t>אפרופים שיכון וייזום (1991) בע"מ נ' מדינת ישראל משרד הבינוי והשיכון</w:t>
      </w:r>
      <w:r>
        <w:rPr>
          <w:rFonts w:ascii="Arial" w:hAnsi="Arial"/>
          <w:noProof w:val="0"/>
          <w:rtl/>
        </w:rPr>
        <w:t>, פסקה 9, פורסם במאגרים האלקטרוניים (10.7.2019)].</w:t>
      </w:r>
    </w:p>
    <w:p w:rsidR="00EA0747" w:rsidRDefault="00EA0747" w:rsidP="00EA0747">
      <w:pPr>
        <w:pStyle w:val="a3"/>
        <w:spacing w:line="360" w:lineRule="auto"/>
        <w:ind w:left="369"/>
        <w:jc w:val="both"/>
        <w:rPr>
          <w:rFonts w:ascii="Arial" w:hAnsi="Arial"/>
          <w:noProof w:val="0"/>
          <w:rtl/>
        </w:rPr>
      </w:pPr>
    </w:p>
    <w:p w:rsidR="00EA0747" w:rsidRDefault="00EA0747" w:rsidP="00EA0747">
      <w:pPr>
        <w:pStyle w:val="a3"/>
        <w:spacing w:line="360" w:lineRule="auto"/>
        <w:ind w:left="85"/>
        <w:jc w:val="both"/>
        <w:rPr>
          <w:rFonts w:ascii="Arial" w:hAnsi="Arial"/>
          <w:noProof w:val="0"/>
          <w:rtl/>
        </w:rPr>
      </w:pPr>
      <w:r>
        <w:rPr>
          <w:rFonts w:ascii="Arial" w:hAnsi="Arial"/>
          <w:b/>
          <w:bCs/>
          <w:noProof w:val="0"/>
          <w:rtl/>
        </w:rPr>
        <w:t>בענייננו</w:t>
      </w:r>
      <w:r>
        <w:rPr>
          <w:rFonts w:ascii="Arial" w:hAnsi="Arial"/>
          <w:noProof w:val="0"/>
          <w:rtl/>
        </w:rPr>
        <w:t xml:space="preserve">, נשענת למעשה בקשת המבקש לחיוב המשיבה בהפקדת ערובה, וכפועל יוצא מכך גם בקשת רשות הערעור שלפנינו על שלושה אדנים: היות המשיבה אזרחית זרה, אשר תושבות הקבע שלה בישראל ניצבת בסכנה; יכולותיה הכלכליות של המשיבה והעובדה שאינה מחזיקה </w:t>
      </w:r>
      <w:r>
        <w:rPr>
          <w:rFonts w:ascii="Arial" w:hAnsi="Arial"/>
          <w:noProof w:val="0"/>
          <w:rtl/>
        </w:rPr>
        <w:lastRenderedPageBreak/>
        <w:t>בנכסים בישראל, כי אם מחוצה לה; פריכותה של התביעה וסיכוייו הנמוכים של ההליך בו נקטה.</w:t>
      </w:r>
    </w:p>
    <w:p w:rsidR="00EA0747" w:rsidRDefault="00EA0747" w:rsidP="00EA0747">
      <w:pPr>
        <w:pStyle w:val="a3"/>
        <w:spacing w:line="360" w:lineRule="auto"/>
        <w:ind w:left="85"/>
        <w:jc w:val="both"/>
        <w:rPr>
          <w:rFonts w:ascii="Arial" w:hAnsi="Arial"/>
          <w:noProof w:val="0"/>
          <w:rtl/>
        </w:rPr>
      </w:pPr>
    </w:p>
    <w:p w:rsidR="00EA0747" w:rsidRDefault="00EA0747" w:rsidP="00EA0747">
      <w:pPr>
        <w:pStyle w:val="a3"/>
        <w:spacing w:line="360" w:lineRule="auto"/>
        <w:ind w:left="85"/>
        <w:jc w:val="both"/>
        <w:rPr>
          <w:rFonts w:ascii="Arial" w:hAnsi="Arial"/>
          <w:noProof w:val="0"/>
          <w:rtl/>
        </w:rPr>
      </w:pPr>
      <w:r>
        <w:rPr>
          <w:rFonts w:ascii="Arial" w:hAnsi="Arial"/>
          <w:noProof w:val="0"/>
          <w:rtl/>
        </w:rPr>
        <w:t xml:space="preserve">באשר למעמד המשיבה בישראל – הגם שאין היא אזרחית המדינה, הצדדים אינם חלוקים על כך שהיא תושבת קבע בארץ; בית המשפט קמא מצא להסתפק בכך ובטענת המשיבה, כי מרכז חייה בארץ. </w:t>
      </w:r>
    </w:p>
    <w:p w:rsidR="00EA0747" w:rsidRDefault="00EA0747" w:rsidP="00EA0747">
      <w:pPr>
        <w:pStyle w:val="a3"/>
        <w:spacing w:line="360" w:lineRule="auto"/>
        <w:ind w:left="85"/>
        <w:jc w:val="both"/>
        <w:rPr>
          <w:rFonts w:ascii="Arial" w:hAnsi="Arial"/>
          <w:noProof w:val="0"/>
          <w:rtl/>
        </w:rPr>
      </w:pPr>
      <w:r>
        <w:rPr>
          <w:rFonts w:ascii="Arial" w:hAnsi="Arial"/>
          <w:noProof w:val="0"/>
          <w:rtl/>
        </w:rPr>
        <w:t xml:space="preserve">ביטול מעמד המשיבה בישראל בשלב זה הוא אכן בבחינת תרחיש תיאורטי, ובהינתן כי עסקינן בעניין שהוא ברובד העובדתי, אשר אין דרכה של ערכאת הערעור להתערב בו אלא אם נתגלתה טעות מובהקת בקביעת הערכאה הדיונית, ואין זה המקרה שלפנינו, הרי שאין מקום להתערב בקביעת בית המשפט קמא בעניין זה.     </w:t>
      </w:r>
    </w:p>
    <w:p w:rsidR="00EA0747" w:rsidRDefault="00EA0747" w:rsidP="00EA0747">
      <w:pPr>
        <w:pStyle w:val="a3"/>
        <w:spacing w:line="360" w:lineRule="auto"/>
        <w:ind w:left="85"/>
        <w:jc w:val="both"/>
        <w:rPr>
          <w:rFonts w:ascii="Arial" w:hAnsi="Arial"/>
          <w:noProof w:val="0"/>
          <w:rtl/>
        </w:rPr>
      </w:pPr>
    </w:p>
    <w:p w:rsidR="00EA0747" w:rsidRDefault="00EA0747" w:rsidP="00EA0747">
      <w:pPr>
        <w:pStyle w:val="a3"/>
        <w:spacing w:line="360" w:lineRule="auto"/>
        <w:ind w:left="85"/>
        <w:jc w:val="both"/>
        <w:rPr>
          <w:rFonts w:ascii="Arial" w:hAnsi="Arial"/>
          <w:noProof w:val="0"/>
          <w:rtl/>
        </w:rPr>
      </w:pPr>
      <w:r>
        <w:rPr>
          <w:rFonts w:ascii="Arial" w:hAnsi="Arial"/>
          <w:noProof w:val="0"/>
          <w:rtl/>
        </w:rPr>
        <w:t>באשר ליכולותיה הכלכליות של המשיבה – המבקש מציג טענות סותרות בעניין זה, עת מחד מביע חשש שמא לא יוכל להיפרע מן המשיבה ככל שייפסקו הוצאות לטובתו נוכח מצבה הכלכלי, ומאידך טוען, כי מצבה הכלכלי של המשיבה איתן, ולו באופן המאפשר לה להפקיד הערובה כמבוקש על ידו בלא שתפגע זכות הגישה שלה לערכאות. גם בעניין זה מצא בית המשפט קמא להסתמך על טענות המבקש עצמו, ולא מצאתי כי יצאה בכך שגגה תחת ידו.</w:t>
      </w:r>
    </w:p>
    <w:p w:rsidR="00EA0747" w:rsidRDefault="00EA0747" w:rsidP="00EA0747">
      <w:pPr>
        <w:pStyle w:val="a3"/>
        <w:spacing w:line="360" w:lineRule="auto"/>
        <w:ind w:left="85"/>
        <w:jc w:val="both"/>
        <w:rPr>
          <w:rFonts w:ascii="Arial" w:hAnsi="Arial"/>
          <w:noProof w:val="0"/>
          <w:rtl/>
        </w:rPr>
      </w:pPr>
      <w:r>
        <w:rPr>
          <w:rFonts w:ascii="Arial" w:hAnsi="Arial"/>
          <w:noProof w:val="0"/>
          <w:rtl/>
        </w:rPr>
        <w:t>יצוין, כי גם עניין זה מונח ברובד העובדתי, ומשכך ובנסיבות העניין, אין הצדקה להתערבות ערכאת הערעור בו.</w:t>
      </w:r>
    </w:p>
    <w:p w:rsidR="00EA0747" w:rsidRDefault="00EA0747" w:rsidP="00EA0747">
      <w:pPr>
        <w:pStyle w:val="a3"/>
        <w:spacing w:line="360" w:lineRule="auto"/>
        <w:ind w:left="85"/>
        <w:jc w:val="both"/>
        <w:rPr>
          <w:rFonts w:ascii="Arial" w:hAnsi="Arial"/>
          <w:noProof w:val="0"/>
          <w:rtl/>
        </w:rPr>
      </w:pPr>
      <w:r>
        <w:rPr>
          <w:rFonts w:ascii="Arial" w:hAnsi="Arial"/>
          <w:noProof w:val="0"/>
          <w:rtl/>
        </w:rPr>
        <w:t xml:space="preserve">זאת ועוד, המשיבה טענה וגיבתה טענתה באסמכתא מתאימה, כי אגב עבודתה בישראל צברה זכויות סוציאליות על שמה, והגם שאין המדובר בסכומי עתק, לא ניתן לומר שכלל אין ברשותה </w:t>
      </w:r>
      <w:r>
        <w:rPr>
          <w:rFonts w:ascii="Arial" w:hAnsi="Arial"/>
          <w:noProof w:val="0"/>
          <w:rtl/>
        </w:rPr>
        <w:lastRenderedPageBreak/>
        <w:t>נכסים או זכויות בארץ, אשר יש בכוחם לשמש כערובה לכיסוי הוצאות המבקש אם וככל שתביעתה תידחה, תחויב בהוצאות משפט ולא תישא בהן.</w:t>
      </w:r>
    </w:p>
    <w:p w:rsidR="00EA0747" w:rsidRDefault="00EA0747" w:rsidP="00EA0747">
      <w:pPr>
        <w:pStyle w:val="a3"/>
        <w:spacing w:line="360" w:lineRule="auto"/>
        <w:ind w:left="85"/>
        <w:jc w:val="both"/>
        <w:rPr>
          <w:rFonts w:ascii="Arial" w:hAnsi="Arial"/>
          <w:noProof w:val="0"/>
          <w:rtl/>
        </w:rPr>
      </w:pPr>
      <w:r>
        <w:rPr>
          <w:rFonts w:ascii="Arial" w:hAnsi="Arial"/>
          <w:noProof w:val="0"/>
          <w:rtl/>
        </w:rPr>
        <w:t xml:space="preserve">    </w:t>
      </w:r>
    </w:p>
    <w:p w:rsidR="00EA0747" w:rsidRDefault="00EA0747" w:rsidP="00EA0747">
      <w:pPr>
        <w:pStyle w:val="a3"/>
        <w:spacing w:line="360" w:lineRule="auto"/>
        <w:ind w:left="85"/>
        <w:jc w:val="both"/>
        <w:rPr>
          <w:rFonts w:ascii="Arial" w:hAnsi="Arial"/>
          <w:noProof w:val="0"/>
          <w:rtl/>
        </w:rPr>
      </w:pPr>
      <w:r>
        <w:rPr>
          <w:rFonts w:ascii="Arial" w:hAnsi="Arial"/>
          <w:noProof w:val="0"/>
          <w:rtl/>
        </w:rPr>
        <w:t xml:space="preserve">באשר לסיכויי ההליך – אמנם אין לכך התייחסות בהחלטה מושא בקשת רשות הערעור, אך משהצדדים טענו בעניין זה יצוין בקצרה, וזאת מבלי להביע עמדה או לטעת מסמרות, כי המבקש משליך יהבו על ההחלטות שניתנו בבקשת המשיבה לסעד זמני ובגדרן היא נדחתה תוך שנקבע, כי לא עלה בידה להניח תשתית ראייתית מספקת להוכחת עילת תביעה לכאורית לביטול ההסכם מחמת עושק וכפייה, ומבקש להסיק מכך שסיכויי ההליך נמוכים. מנגד, טוענת המשיבה, כי במסמכים שנתקבלו  ממשרד הפנים ובהם ראיון שנערך למבקש ע"י רשות </w:t>
      </w:r>
      <w:r>
        <w:rPr>
          <w:rFonts w:ascii="Arial" w:hAnsi="Arial"/>
          <w:noProof w:val="0"/>
          <w:rtl/>
        </w:rPr>
        <w:lastRenderedPageBreak/>
        <w:t xml:space="preserve">האוכלוסין וההגירה, יש הודאת בעל דין, התומכת בטענותיה בדבר הפגמים שנפלו בכריתת ההסכם, ומכך ניתן, לשיטתה, ללמוד, כי סיכויי ההליך גבוהים. </w:t>
      </w:r>
    </w:p>
    <w:p w:rsidR="00EA0747" w:rsidRDefault="00EA0747" w:rsidP="00EA0747">
      <w:pPr>
        <w:pStyle w:val="a3"/>
        <w:spacing w:line="360" w:lineRule="auto"/>
        <w:ind w:left="85"/>
        <w:jc w:val="both"/>
        <w:rPr>
          <w:rFonts w:ascii="Arial" w:hAnsi="Arial"/>
          <w:noProof w:val="0"/>
          <w:rtl/>
        </w:rPr>
      </w:pPr>
    </w:p>
    <w:p w:rsidR="00EA0747" w:rsidRDefault="00EA0747" w:rsidP="00EA0747">
      <w:pPr>
        <w:pStyle w:val="a3"/>
        <w:spacing w:line="360" w:lineRule="auto"/>
        <w:ind w:left="85"/>
        <w:jc w:val="both"/>
        <w:rPr>
          <w:rFonts w:ascii="Arial" w:hAnsi="Arial"/>
          <w:noProof w:val="0"/>
          <w:rtl/>
        </w:rPr>
      </w:pPr>
      <w:r>
        <w:rPr>
          <w:rFonts w:ascii="Arial" w:hAnsi="Arial"/>
          <w:noProof w:val="0"/>
          <w:rtl/>
        </w:rPr>
        <w:t>בנדון דידן יוער, מבלי להביע עמדה לגופו של עניין, כי בחינת בקשה לסעד זמני נעשית דרך אספקלריה שונה מזו שדרכה נבחנת בקשה לחיוב תובע בהפקדת ערובה ובאמות מידה שונות זו מזו, ואין לגזור גזרה שווה מהכרעה בבקשה ממין אחד למשנהו.</w:t>
      </w:r>
    </w:p>
    <w:p w:rsidR="00EA0747" w:rsidRDefault="00EA0747" w:rsidP="00EA0747">
      <w:pPr>
        <w:ind w:left="85"/>
        <w:jc w:val="both"/>
        <w:rPr>
          <w:rFonts w:ascii="Arial" w:hAnsi="Arial"/>
          <w:noProof w:val="0"/>
          <w:rtl/>
        </w:rPr>
      </w:pPr>
    </w:p>
    <w:p w:rsidR="00EA0747" w:rsidRDefault="00EA0747" w:rsidP="00EA0747">
      <w:pPr>
        <w:pStyle w:val="a3"/>
        <w:spacing w:line="360" w:lineRule="auto"/>
        <w:ind w:left="85"/>
        <w:jc w:val="both"/>
        <w:rPr>
          <w:rFonts w:ascii="Arial" w:hAnsi="Arial"/>
          <w:noProof w:val="0"/>
          <w:rtl/>
        </w:rPr>
      </w:pPr>
      <w:r>
        <w:rPr>
          <w:rtl/>
        </w:rPr>
        <w:t xml:space="preserve">נוסיף בהקשר זה, שבפסיקה נקבע, כי משעניין לנו בהליך המתנהל בערכאה ראשונה, קיים קושי מובנה בהערכת סיכויי התביעה בשלב מקדמי של ההליך, בפרט כאשר הערכתם נשענת על טיעון עובדתי, התלוי בטיב הראיות שיוגשו, בשונה מהערכת סיכויים הנטועים ברובד המשפטי גרידא </w:t>
      </w:r>
      <w:r>
        <w:rPr>
          <w:rtl/>
        </w:rPr>
        <w:lastRenderedPageBreak/>
        <w:t xml:space="preserve">(ראו למשל: רע"א 5738/13 </w:t>
      </w:r>
      <w:r>
        <w:rPr>
          <w:b/>
          <w:bCs/>
          <w:rtl/>
        </w:rPr>
        <w:t>אבו סעלוק נ' שירותי בריאות כללית</w:t>
      </w:r>
      <w:r>
        <w:rPr>
          <w:rtl/>
        </w:rPr>
        <w:t xml:space="preserve">, פורסם במאגרים האלקטרוניים). </w:t>
      </w:r>
    </w:p>
    <w:p w:rsidR="00EA0747" w:rsidRDefault="00EA0747" w:rsidP="00EA0747">
      <w:pPr>
        <w:pStyle w:val="a3"/>
        <w:spacing w:line="360" w:lineRule="auto"/>
        <w:ind w:left="85"/>
        <w:jc w:val="both"/>
        <w:rPr>
          <w:rFonts w:ascii="Arial" w:hAnsi="Arial"/>
          <w:noProof w:val="0"/>
          <w:rtl/>
        </w:rPr>
      </w:pPr>
    </w:p>
    <w:p w:rsidR="00EA0747" w:rsidRDefault="00EA0747" w:rsidP="00EA0747">
      <w:pPr>
        <w:pStyle w:val="a3"/>
        <w:spacing w:line="360" w:lineRule="auto"/>
        <w:ind w:left="85"/>
        <w:jc w:val="both"/>
        <w:rPr>
          <w:rFonts w:ascii="Arial" w:hAnsi="Arial"/>
          <w:noProof w:val="0"/>
          <w:rtl/>
        </w:rPr>
      </w:pPr>
      <w:r>
        <w:rPr>
          <w:rFonts w:ascii="Arial" w:hAnsi="Arial"/>
          <w:noProof w:val="0"/>
          <w:rtl/>
        </w:rPr>
        <w:t xml:space="preserve">הנה כי כן ומשלא נמצא ע"י הערכאה המבררת, בשלב בו מצוי ההליך קמא, כי על פניה התביעה מופרכת ומשוללת יסוד, ויתר השיקולים שהובאו על ידו בחשבון, כמפורט לעיל, הביאוה למסקנה, שאין מקום לחרוג מן הכלל בדבר אי חיוב המשיבה בהפקדת ערובה, כי אז פועלים מבחנים אלה בהרמוניה ומתיישבים זה עם זה.    </w:t>
      </w:r>
    </w:p>
    <w:p w:rsidR="00EA0747" w:rsidRDefault="00EA0747" w:rsidP="00EA0747">
      <w:pPr>
        <w:pStyle w:val="a3"/>
        <w:ind w:left="369"/>
        <w:jc w:val="both"/>
        <w:rPr>
          <w:rFonts w:ascii="Arial" w:hAnsi="Arial"/>
          <w:noProof w:val="0"/>
          <w:rtl/>
        </w:rPr>
      </w:pPr>
    </w:p>
    <w:p w:rsidR="00EA0747" w:rsidRDefault="00EA0747" w:rsidP="00EA0747">
      <w:pPr>
        <w:pStyle w:val="a3"/>
        <w:spacing w:line="360" w:lineRule="auto"/>
        <w:ind w:left="85"/>
        <w:jc w:val="both"/>
        <w:rPr>
          <w:rFonts w:ascii="Arial" w:hAnsi="Arial"/>
          <w:noProof w:val="0"/>
          <w:rtl/>
        </w:rPr>
      </w:pPr>
      <w:r>
        <w:rPr>
          <w:rFonts w:ascii="Arial" w:hAnsi="Arial"/>
          <w:noProof w:val="0"/>
          <w:rtl/>
        </w:rPr>
        <w:t xml:space="preserve">גם בהישענות המבקש על תקנה 116א(ב) לתקנות בית הדין לעבודה אין כדי להועיל לו, בהינתן שעל ההליך קמא חלים סדרי הדין המעוגנים בתקנות סדר הדין האזרחי ובתקנות בית המשפט </w:t>
      </w:r>
      <w:r>
        <w:rPr>
          <w:rFonts w:ascii="Arial" w:hAnsi="Arial"/>
          <w:noProof w:val="0"/>
          <w:rtl/>
        </w:rPr>
        <w:lastRenderedPageBreak/>
        <w:t xml:space="preserve">לענייני משפחה, ומכל מקום עניין לנו בטענה חדשה שלא הועלתה בפני הערכאה הדיונית כי אם לראשונה בפני ערכאת הערעור, ודי בכך כדי שלא להידרש לה.  </w:t>
      </w:r>
    </w:p>
    <w:p w:rsidR="00EA0747" w:rsidRDefault="00EA0747" w:rsidP="00EA0747">
      <w:pPr>
        <w:pStyle w:val="a3"/>
        <w:spacing w:line="360" w:lineRule="auto"/>
        <w:ind w:left="369"/>
        <w:jc w:val="both"/>
        <w:rPr>
          <w:rFonts w:ascii="Arial" w:hAnsi="Arial"/>
          <w:noProof w:val="0"/>
          <w:rtl/>
        </w:rPr>
      </w:pPr>
    </w:p>
    <w:p w:rsidR="00EA0747" w:rsidRDefault="00EA0747" w:rsidP="00EA0747">
      <w:pPr>
        <w:pStyle w:val="a3"/>
        <w:spacing w:line="360" w:lineRule="auto"/>
        <w:ind w:left="85"/>
        <w:jc w:val="both"/>
        <w:rPr>
          <w:rFonts w:ascii="Arial" w:hAnsi="Arial"/>
          <w:noProof w:val="0"/>
          <w:rtl/>
        </w:rPr>
      </w:pPr>
      <w:r>
        <w:rPr>
          <w:rFonts w:ascii="Arial" w:hAnsi="Arial"/>
          <w:noProof w:val="0"/>
          <w:rtl/>
        </w:rPr>
        <w:t xml:space="preserve">בנוסף לכל האמור יצוין, כי יש ממש בטענות המשיבה לפיהן הבקשה לחיובה בהפקדת ערובה הוגשה בשיהוי ובהעדר הצדק לכך בדין, ואף בשיהוי זה יש כדי להטות הכף לעבר דחיית הבקשה. הסברו של המבקש לשיהוי זה נעוץ בכך שלא היה מיוצג בראשית ההליך, ורק לאחר ששכר שירותיו המשפטיים של בא כוחו והוסברו לו זכויותיו, הוגשה על ידו הבקשה. מבלי להביע עמדה בשאלת יכולותיו הכלכליות של המבקש והסיבה בגינה בחר לייצג עצמו בראשית ההליך יצוין, כי הבקשה הוגשה בחלוף כשבעה חודשים ממועד הגשת התביעה וכשלושה </w:t>
      </w:r>
      <w:r>
        <w:rPr>
          <w:rFonts w:ascii="Arial" w:hAnsi="Arial"/>
          <w:noProof w:val="0"/>
          <w:rtl/>
        </w:rPr>
        <w:lastRenderedPageBreak/>
        <w:t xml:space="preserve">חודשים לאחר ישיבת קדם משפט בהליך בגדרה ניתנו הוראות שונות, לרבות באשר לאופן ולמועד הגשת ראיות הצדדים.    </w:t>
      </w:r>
    </w:p>
    <w:p w:rsidR="00EA0747" w:rsidRDefault="00EA0747" w:rsidP="00EA0747">
      <w:pPr>
        <w:pStyle w:val="a3"/>
        <w:spacing w:line="360" w:lineRule="auto"/>
        <w:ind w:left="85"/>
        <w:jc w:val="both"/>
        <w:rPr>
          <w:rFonts w:ascii="Arial" w:hAnsi="Arial"/>
          <w:noProof w:val="0"/>
          <w:rtl/>
        </w:rPr>
      </w:pPr>
      <w:r>
        <w:rPr>
          <w:rFonts w:ascii="Arial" w:hAnsi="Arial"/>
          <w:noProof w:val="0"/>
          <w:rtl/>
        </w:rPr>
        <w:t xml:space="preserve">הגשת הבקשה סמוך למועד בו אמורה הייתה המשיבה להגיש ראיותיה (אם כי מעיון בתיק המתנהל בבית המשפט קמא עולה, שטרם הוגשו הראיות), כשההליך כבר יצא אל הדרך ומצוי בעיצומו, מקהה עוקצה, ומידת הפגיעה בזכות הגישה של המשיבה לערכאות, לו היה בית המשפט מתנה המשך ניהול ההליך בשלב אליו הגיע, היא אכן קשה יותר ומידתית פחות מאשר בסמוך למועד הגשת התביעה. לפיכך, ועל מנת להצדיק פגיעה זו נהיר, כי זולת הצורך בביסוס הבקשה גופה, נדרשים טעמים כבדי משקל להצדקת השיהוי בהגשתה, וכאלה לא הוצגו בענייננו.  </w:t>
      </w:r>
    </w:p>
    <w:p w:rsidR="00EA0747" w:rsidRDefault="00EA0747" w:rsidP="00EA0747">
      <w:pPr>
        <w:pStyle w:val="a3"/>
        <w:spacing w:line="360" w:lineRule="auto"/>
        <w:ind w:left="85"/>
        <w:jc w:val="both"/>
        <w:rPr>
          <w:rFonts w:ascii="Arial" w:hAnsi="Arial"/>
          <w:noProof w:val="0"/>
          <w:rtl/>
        </w:rPr>
      </w:pPr>
    </w:p>
    <w:p w:rsidR="00EA0747" w:rsidRDefault="00EA0747" w:rsidP="00EA0747">
      <w:pPr>
        <w:pStyle w:val="a3"/>
        <w:spacing w:line="360" w:lineRule="auto"/>
        <w:ind w:left="85"/>
        <w:jc w:val="both"/>
        <w:rPr>
          <w:rFonts w:ascii="Arial" w:hAnsi="Arial"/>
          <w:b/>
          <w:bCs/>
          <w:noProof w:val="0"/>
          <w:sz w:val="26"/>
          <w:szCs w:val="26"/>
          <w:u w:val="single"/>
          <w:rtl/>
        </w:rPr>
      </w:pPr>
      <w:r>
        <w:rPr>
          <w:rFonts w:ascii="Arial" w:hAnsi="Arial"/>
          <w:b/>
          <w:bCs/>
          <w:noProof w:val="0"/>
          <w:sz w:val="26"/>
          <w:szCs w:val="26"/>
          <w:u w:val="single"/>
          <w:rtl/>
        </w:rPr>
        <w:lastRenderedPageBreak/>
        <w:t xml:space="preserve">סוף דבר </w:t>
      </w:r>
    </w:p>
    <w:p w:rsidR="00EA0747" w:rsidRDefault="00EA0747" w:rsidP="00EA0747">
      <w:pPr>
        <w:pStyle w:val="a3"/>
        <w:spacing w:line="360" w:lineRule="auto"/>
        <w:ind w:left="369"/>
        <w:jc w:val="both"/>
        <w:rPr>
          <w:rFonts w:ascii="Century" w:hAnsi="Century"/>
          <w:rtl/>
        </w:rPr>
      </w:pPr>
    </w:p>
    <w:p w:rsidR="00EA0747" w:rsidRDefault="00EA0747" w:rsidP="00EA0747">
      <w:pPr>
        <w:pStyle w:val="a3"/>
        <w:spacing w:line="360" w:lineRule="auto"/>
        <w:ind w:left="85"/>
        <w:jc w:val="both"/>
        <w:rPr>
          <w:rFonts w:ascii="David" w:eastAsia="Calibri" w:hAnsi="David"/>
          <w:noProof w:val="0"/>
          <w:rtl/>
        </w:rPr>
      </w:pPr>
      <w:r>
        <w:rPr>
          <w:rFonts w:ascii="David" w:eastAsia="Calibri" w:hAnsi="David"/>
          <w:noProof w:val="0"/>
          <w:rtl/>
        </w:rPr>
        <w:t xml:space="preserve">הסוגיה שלפנינו נטועה בליבת שיקול הדעת של הערכאה הדיונית, והוא רחב. </w:t>
      </w:r>
    </w:p>
    <w:p w:rsidR="00EA0747" w:rsidRDefault="00EA0747" w:rsidP="00EA0747">
      <w:pPr>
        <w:pStyle w:val="a3"/>
        <w:spacing w:line="360" w:lineRule="auto"/>
        <w:ind w:left="85"/>
        <w:jc w:val="both"/>
        <w:rPr>
          <w:rFonts w:ascii="David" w:eastAsia="Calibri" w:hAnsi="David"/>
          <w:noProof w:val="0"/>
          <w:rtl/>
        </w:rPr>
      </w:pPr>
      <w:r>
        <w:rPr>
          <w:rFonts w:ascii="David" w:eastAsia="Calibri" w:hAnsi="David"/>
          <w:noProof w:val="0"/>
          <w:rtl/>
        </w:rPr>
        <w:t xml:space="preserve">על יסוד כל האמור לעיל, לא מצאתי כי בנסיבות המקרה דנא יש הצדקה להתערבות בשיקול דעתו של בית המשפט קמא, ולכן בקשת רשות הערעור נדחית בזאת. </w:t>
      </w:r>
    </w:p>
    <w:p w:rsidR="00EA0747" w:rsidRDefault="00EA0747" w:rsidP="00EA0747">
      <w:pPr>
        <w:ind w:left="85"/>
        <w:jc w:val="both"/>
        <w:rPr>
          <w:rFonts w:ascii="Arial" w:hAnsi="Arial"/>
          <w:noProof w:val="0"/>
          <w:rtl/>
        </w:rPr>
      </w:pPr>
    </w:p>
    <w:p w:rsidR="00EA0747" w:rsidRDefault="00EA0747" w:rsidP="00EA0747">
      <w:pPr>
        <w:pStyle w:val="a3"/>
        <w:spacing w:line="360" w:lineRule="auto"/>
        <w:ind w:left="85"/>
        <w:jc w:val="both"/>
        <w:rPr>
          <w:rFonts w:ascii="Arial" w:hAnsi="Arial"/>
        </w:rPr>
      </w:pPr>
      <w:r>
        <w:rPr>
          <w:rFonts w:ascii="Arial" w:hAnsi="Arial"/>
          <w:rtl/>
        </w:rPr>
        <w:t xml:space="preserve">המבקש יישא בהוצאות המבקשת בסך 3,500 ₪. יתרת העירבון שהופקד על ידו, על פירותיה, תוחזר לידי המבקש באמצעות בא כוחו. </w:t>
      </w:r>
    </w:p>
    <w:p w:rsidR="00EA0747" w:rsidRDefault="00EA0747" w:rsidP="00EA0747">
      <w:pPr>
        <w:pStyle w:val="a3"/>
        <w:ind w:left="85"/>
        <w:rPr>
          <w:rFonts w:ascii="David" w:eastAsia="Calibri" w:hAnsi="David"/>
          <w:noProof w:val="0"/>
        </w:rPr>
      </w:pPr>
    </w:p>
    <w:p w:rsidR="00EA0747" w:rsidRDefault="00EA0747" w:rsidP="00EA0747">
      <w:pPr>
        <w:pStyle w:val="a3"/>
        <w:spacing w:line="360" w:lineRule="auto"/>
        <w:ind w:left="85"/>
        <w:jc w:val="both"/>
        <w:rPr>
          <w:rFonts w:ascii="David" w:eastAsia="Calibri" w:hAnsi="David"/>
          <w:noProof w:val="0"/>
          <w:rtl/>
        </w:rPr>
      </w:pPr>
      <w:r>
        <w:rPr>
          <w:rFonts w:ascii="David" w:eastAsia="Calibri" w:hAnsi="David"/>
          <w:noProof w:val="0"/>
          <w:rtl/>
        </w:rPr>
        <w:t xml:space="preserve">ההחלטה ניתנת לפרסום תוך השמטת שמות הצדדים ופרטים מזהים נוספים. </w:t>
      </w:r>
    </w:p>
    <w:p w:rsidR="00EA0747" w:rsidRDefault="00EA0747" w:rsidP="00EA0747">
      <w:pPr>
        <w:ind w:left="85"/>
        <w:jc w:val="both"/>
        <w:rPr>
          <w:rFonts w:ascii="David" w:eastAsia="Calibri" w:hAnsi="David"/>
          <w:noProof w:val="0"/>
        </w:rPr>
      </w:pPr>
    </w:p>
    <w:p w:rsidR="00EA0747" w:rsidRDefault="00EA0747" w:rsidP="00EA0747">
      <w:pPr>
        <w:pStyle w:val="a3"/>
        <w:spacing w:line="360" w:lineRule="auto"/>
        <w:ind w:left="85"/>
        <w:jc w:val="both"/>
        <w:rPr>
          <w:rFonts w:ascii="Arial" w:hAnsi="Arial"/>
          <w:noProof w:val="0"/>
          <w:rtl/>
        </w:rPr>
      </w:pPr>
      <w:r>
        <w:rPr>
          <w:rFonts w:ascii="Arial" w:hAnsi="Arial"/>
          <w:noProof w:val="0"/>
          <w:rtl/>
        </w:rPr>
        <w:lastRenderedPageBreak/>
        <w:t>המזכירות תמציא ההחלטה לצדדים ותסגור התיק.</w:t>
      </w:r>
    </w:p>
    <w:p w:rsidR="00EA0747" w:rsidRDefault="00EA0747" w:rsidP="00EA0747">
      <w:pPr>
        <w:spacing w:line="360" w:lineRule="auto"/>
        <w:jc w:val="both"/>
        <w:rPr>
          <w:rFonts w:ascii="Arial" w:hAnsi="Arial"/>
          <w:noProof w:val="0"/>
        </w:rPr>
      </w:pPr>
    </w:p>
    <w:p w:rsidR="00EA0747" w:rsidRDefault="00EA0747" w:rsidP="00EA0747">
      <w:pPr>
        <w:spacing w:line="360" w:lineRule="auto"/>
        <w:jc w:val="both"/>
        <w:rPr>
          <w:rFonts w:ascii="Arial" w:hAnsi="Arial"/>
          <w:noProof w:val="0"/>
          <w:rtl/>
        </w:rPr>
      </w:pPr>
      <w:r>
        <w:rPr>
          <w:rFonts w:ascii="Arial" w:hAnsi="Arial"/>
          <w:noProof w:val="0"/>
          <w:rtl/>
        </w:rPr>
        <w:t xml:space="preserve">ניתנה היום, </w:t>
      </w:r>
      <w:sdt>
        <w:sdtPr>
          <w:rPr>
            <w:rtl/>
          </w:rPr>
          <w:alias w:val="1455"/>
          <w:tag w:val="1455"/>
          <w:id w:val="1666048407"/>
          <w:text w:multiLine="1"/>
        </w:sdtPr>
        <w:sdtEndPr/>
        <w:sdtContent>
          <w:r>
            <w:rPr>
              <w:rFonts w:ascii="Arial" w:hAnsi="Arial"/>
              <w:noProof w:val="0"/>
              <w:rtl/>
            </w:rPr>
            <w:t>ז' אב תשפ"ד</w:t>
          </w:r>
        </w:sdtContent>
      </w:sdt>
      <w:r>
        <w:rPr>
          <w:rFonts w:ascii="Arial" w:hAnsi="Arial"/>
          <w:noProof w:val="0"/>
          <w:rtl/>
        </w:rPr>
        <w:t xml:space="preserve">, </w:t>
      </w:r>
      <w:sdt>
        <w:sdtPr>
          <w:rPr>
            <w:rtl/>
          </w:rPr>
          <w:alias w:val="1456"/>
          <w:tag w:val="1456"/>
          <w:id w:val="-1186288958"/>
          <w:text w:multiLine="1"/>
        </w:sdtPr>
        <w:sdtEndPr/>
        <w:sdtContent>
          <w:r>
            <w:rPr>
              <w:rFonts w:ascii="Arial" w:hAnsi="Arial"/>
              <w:noProof w:val="0"/>
              <w:rtl/>
            </w:rPr>
            <w:t>11 אוגוסט 2024</w:t>
          </w:r>
        </w:sdtContent>
      </w:sdt>
      <w:r>
        <w:rPr>
          <w:rFonts w:ascii="Arial" w:hAnsi="Arial"/>
          <w:noProof w:val="0"/>
          <w:rtl/>
        </w:rPr>
        <w:t>, בהעדר הצדדים.</w:t>
      </w:r>
    </w:p>
    <w:p w:rsidR="00EA0747" w:rsidRDefault="007C0C9D" w:rsidP="00EA0747">
      <w:pPr>
        <w:tabs>
          <w:tab w:val="left" w:pos="2553"/>
        </w:tabs>
        <w:ind w:left="5040"/>
        <w:rPr>
          <w:rtl/>
        </w:rPr>
      </w:pPr>
      <w:sdt>
        <w:sdtPr>
          <w:rPr>
            <w:rtl/>
          </w:rPr>
          <w:alias w:val="2045"/>
          <w:tag w:val="2045"/>
          <w:id w:val="740689340"/>
          <w:placeholder>
            <w:docPart w:val="5B8092E929C14D5081DAA201FAEC52D4"/>
          </w:placeholder>
          <w:showingPlcHdr/>
          <w:text w:multiLine="1"/>
        </w:sdtPr>
        <w:sdtEndPr/>
        <w:sdtContent>
          <w:r w:rsidR="00EA0747">
            <w:rPr>
              <w:rtl/>
            </w:rPr>
            <w:t xml:space="preserve">     </w:t>
          </w:r>
        </w:sdtContent>
      </w:sdt>
    </w:p>
    <w:p w:rsidR="00EA0747" w:rsidRDefault="00EA0747" w:rsidP="00EA0747">
      <w:pPr>
        <w:tabs>
          <w:tab w:val="left" w:pos="2553"/>
        </w:tabs>
        <w:rPr>
          <w:rtl/>
        </w:rPr>
      </w:pPr>
      <w:r>
        <w:rPr>
          <w:rtl/>
        </w:rPr>
        <w:tab/>
      </w:r>
      <w:r>
        <w:rPr>
          <w:rtl/>
        </w:rPr>
        <w:tab/>
      </w:r>
      <w:r>
        <w:rPr>
          <w:rtl/>
        </w:rPr>
        <w:tab/>
      </w:r>
      <w:r>
        <w:rPr>
          <w:rtl/>
        </w:rPr>
        <w:tab/>
        <w:t xml:space="preserve">        </w:t>
      </w:r>
      <w:sdt>
        <w:sdtPr>
          <w:rPr>
            <w:rtl/>
          </w:rPr>
          <w:alias w:val="MergeField"/>
          <w:tag w:val="1237"/>
          <w:id w:val="702210199"/>
        </w:sdtPr>
        <w:sdtEndPr/>
        <w:sdtContent>
          <w:r>
            <w:drawing>
              <wp:inline distT="0" distB="0" distL="0" distR="0">
                <wp:extent cx="1663700" cy="1050290"/>
                <wp:effectExtent l="0" t="0" r="0" b="0"/>
                <wp:docPr id="1" name="תמונה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663700" cy="1050290"/>
                        </a:xfrm>
                        <a:prstGeom prst="rect">
                          <a:avLst/>
                        </a:prstGeom>
                        <a:noFill/>
                        <a:ln>
                          <a:noFill/>
                        </a:ln>
                      </pic:spPr>
                    </pic:pic>
                  </a:graphicData>
                </a:graphic>
              </wp:inline>
            </w:drawing>
          </w:r>
        </w:sdtContent>
      </w:sdt>
    </w:p>
    <w:p w:rsidR="00EA0747" w:rsidRDefault="00EA0747" w:rsidP="00EA0747">
      <w:pPr>
        <w:tabs>
          <w:tab w:val="left" w:pos="2553"/>
        </w:tabs>
        <w:rPr>
          <w:rFonts w:ascii="Arial" w:hAnsi="Arial"/>
          <w:noProof w:val="0"/>
        </w:rPr>
      </w:pPr>
    </w:p>
    <w:p w:rsidR="00E9701C" w:rsidRDefault="00E9701C"/>
    <w:sectPr w:rsidR="00E9701C" w:rsidSect="00897C85">
      <w:pgSz w:w="11906" w:h="16838"/>
      <w:pgMar w:top="1440" w:right="1800" w:bottom="1440" w:left="180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revisionView w:inkAnnotations="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A0747"/>
    <w:rsid w:val="00061043"/>
    <w:rsid w:val="001826D4"/>
    <w:rsid w:val="007C0C9D"/>
    <w:rsid w:val="00897C85"/>
    <w:rsid w:val="00E9701C"/>
    <w:rsid w:val="00EA074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5379341-6173-4CC2-A8FE-0090683258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A0747"/>
    <w:pPr>
      <w:bidi/>
      <w:spacing w:after="0" w:line="240" w:lineRule="auto"/>
    </w:pPr>
    <w:rPr>
      <w:rFonts w:ascii="Times New Roman" w:eastAsia="Times New Roman" w:hAnsi="Times New Roman" w:cs="David"/>
      <w:noProo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A0747"/>
    <w:pPr>
      <w:ind w:left="720"/>
      <w:contextualSpacing/>
    </w:pPr>
  </w:style>
  <w:style w:type="table" w:styleId="a4">
    <w:name w:val="Table Grid"/>
    <w:basedOn w:val="a1"/>
    <w:rsid w:val="00EA0747"/>
    <w:pPr>
      <w:spacing w:after="0" w:line="240" w:lineRule="auto"/>
      <w:jc w:val="right"/>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0183257">
      <w:bodyDiv w:val="1"/>
      <w:marLeft w:val="0"/>
      <w:marRight w:val="0"/>
      <w:marTop w:val="0"/>
      <w:marBottom w:val="0"/>
      <w:divBdr>
        <w:top w:val="none" w:sz="0" w:space="0" w:color="auto"/>
        <w:left w:val="none" w:sz="0" w:space="0" w:color="auto"/>
        <w:bottom w:val="none" w:sz="0" w:space="0" w:color="auto"/>
        <w:right w:val="none" w:sz="0" w:space="0" w:color="auto"/>
      </w:divBdr>
    </w:div>
    <w:div w:id="14902455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glossaryDocument" Target="glossary/document.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jpeg"/><Relationship Id="rId4"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8682CD889D040F783CEC1713B4DBDB2"/>
        <w:category>
          <w:name w:val="כללי"/>
          <w:gallery w:val="placeholder"/>
        </w:category>
        <w:types>
          <w:type w:val="bbPlcHdr"/>
        </w:types>
        <w:behaviors>
          <w:behavior w:val="content"/>
        </w:behaviors>
        <w:guid w:val="{3578BA8F-838E-4FCD-9086-D55A8220B5A7}"/>
      </w:docPartPr>
      <w:docPartBody>
        <w:p w:rsidR="004669A0" w:rsidRDefault="00E502D1" w:rsidP="00E502D1">
          <w:pPr>
            <w:pStyle w:val="08682CD889D040F783CEC1713B4DBDB2"/>
          </w:pPr>
          <w:r>
            <w:rPr>
              <w:rFonts w:ascii="Arial" w:hAnsi="Arial"/>
              <w:b/>
              <w:bCs/>
              <w:sz w:val="26"/>
              <w:szCs w:val="26"/>
              <w:rtl/>
            </w:rPr>
            <w:t>שם צד א' ללא שם של חסוי</w:t>
          </w:r>
        </w:p>
      </w:docPartBody>
    </w:docPart>
    <w:docPart>
      <w:docPartPr>
        <w:name w:val="D1099C2915EB4643BFE6B71DD081AF6C"/>
        <w:category>
          <w:name w:val="כללי"/>
          <w:gallery w:val="placeholder"/>
        </w:category>
        <w:types>
          <w:type w:val="bbPlcHdr"/>
        </w:types>
        <w:behaviors>
          <w:behavior w:val="content"/>
        </w:behaviors>
        <w:guid w:val="{A2326025-69A3-42DD-B2C8-CEEDBCC4B0FC}"/>
      </w:docPartPr>
      <w:docPartBody>
        <w:p w:rsidR="004669A0" w:rsidRDefault="00E502D1" w:rsidP="00E502D1">
          <w:pPr>
            <w:pStyle w:val="D1099C2915EB4643BFE6B71DD081AF6C"/>
          </w:pPr>
          <w:r>
            <w:rPr>
              <w:rFonts w:ascii="Arial" w:hAnsi="Arial"/>
              <w:b/>
              <w:bCs/>
              <w:sz w:val="26"/>
              <w:szCs w:val="26"/>
              <w:rtl/>
            </w:rPr>
            <w:t>שם צד ב' ללא שם של חסוי</w:t>
          </w:r>
        </w:p>
      </w:docPartBody>
    </w:docPart>
    <w:docPart>
      <w:docPartPr>
        <w:name w:val="5B8092E929C14D5081DAA201FAEC52D4"/>
        <w:category>
          <w:name w:val="כללי"/>
          <w:gallery w:val="placeholder"/>
        </w:category>
        <w:types>
          <w:type w:val="bbPlcHdr"/>
        </w:types>
        <w:behaviors>
          <w:behavior w:val="content"/>
        </w:behaviors>
        <w:guid w:val="{FF410523-466F-415C-9A02-51A22D72B90C}"/>
      </w:docPartPr>
      <w:docPartBody>
        <w:p w:rsidR="004669A0" w:rsidRDefault="00E502D1" w:rsidP="00E502D1">
          <w:pPr>
            <w:pStyle w:val="5B8092E929C14D5081DAA201FAEC52D4"/>
          </w:pPr>
          <w:r>
            <w:rPr>
              <w:rtl/>
            </w:rPr>
            <w:t xml:space="preserve">     </w:t>
          </w:r>
        </w:p>
      </w:docPartBody>
    </w:docPart>
    <w:docPart>
      <w:docPartPr>
        <w:name w:val="359CD60A1DDC43EAB827100955D86178"/>
        <w:category>
          <w:name w:val="כללי"/>
          <w:gallery w:val="placeholder"/>
        </w:category>
        <w:types>
          <w:type w:val="bbPlcHdr"/>
        </w:types>
        <w:behaviors>
          <w:behavior w:val="content"/>
        </w:behaviors>
        <w:guid w:val="{F7BAA339-5B0E-45E3-B2BE-F6B38526A8D1}"/>
      </w:docPartPr>
      <w:docPartBody>
        <w:p w:rsidR="004669A0" w:rsidRDefault="00E502D1" w:rsidP="00E502D1">
          <w:pPr>
            <w:pStyle w:val="359CD60A1DDC43EAB827100955D86178"/>
          </w:pPr>
          <w:r>
            <w:rPr>
              <w:b/>
              <w:bCs/>
              <w:sz w:val="26"/>
              <w:szCs w:val="26"/>
              <w:rtl/>
            </w:rPr>
            <w:t>שם תיק ללא שמות חסויים</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502D1"/>
    <w:rsid w:val="004669A0"/>
    <w:rsid w:val="00786336"/>
    <w:rsid w:val="00C575ED"/>
    <w:rsid w:val="00D675C0"/>
    <w:rsid w:val="00E502D1"/>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08682CD889D040F783CEC1713B4DBDB2">
    <w:name w:val="08682CD889D040F783CEC1713B4DBDB2"/>
    <w:rsid w:val="00E502D1"/>
    <w:pPr>
      <w:bidi/>
    </w:pPr>
  </w:style>
  <w:style w:type="paragraph" w:customStyle="1" w:styleId="D1099C2915EB4643BFE6B71DD081AF6C">
    <w:name w:val="D1099C2915EB4643BFE6B71DD081AF6C"/>
    <w:rsid w:val="00E502D1"/>
    <w:pPr>
      <w:bidi/>
    </w:pPr>
  </w:style>
  <w:style w:type="paragraph" w:customStyle="1" w:styleId="5B8092E929C14D5081DAA201FAEC52D4">
    <w:name w:val="5B8092E929C14D5081DAA201FAEC52D4"/>
    <w:rsid w:val="00E502D1"/>
    <w:pPr>
      <w:bidi/>
    </w:pPr>
  </w:style>
  <w:style w:type="paragraph" w:customStyle="1" w:styleId="359CD60A1DDC43EAB827100955D86178">
    <w:name w:val="359CD60A1DDC43EAB827100955D86178"/>
    <w:rsid w:val="00E502D1"/>
    <w:pPr>
      <w:bidi/>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28</Pages>
  <Words>2616</Words>
  <Characters>13084</Characters>
  <Application>Microsoft Office Word</Application>
  <DocSecurity>0</DocSecurity>
  <Lines>109</Lines>
  <Paragraphs>31</Paragraphs>
  <ScaleCrop>false</ScaleCrop>
  <HeadingPairs>
    <vt:vector size="2" baseType="variant">
      <vt:variant>
        <vt:lpstr>שם</vt:lpstr>
      </vt:variant>
      <vt:variant>
        <vt:i4>1</vt:i4>
      </vt:variant>
    </vt:vector>
  </HeadingPairs>
  <TitlesOfParts>
    <vt:vector size="1" baseType="lpstr">
      <vt:lpstr/>
    </vt:vector>
  </TitlesOfParts>
  <Company/>
  <LinksUpToDate>false</LinksUpToDate>
  <CharactersWithSpaces>15669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פאני גילת כהן</dc:creator>
  <cp:keywords/>
  <dc:description/>
  <cp:lastModifiedBy>גרמאו מנגיסטו</cp:lastModifiedBy>
  <cp:revision>2</cp:revision>
  <dcterms:created xsi:type="dcterms:W3CDTF">2024-08-14T14:13:00Z</dcterms:created>
  <dcterms:modified xsi:type="dcterms:W3CDTF">2024-08-14T14:13:00Z</dcterms:modified>
</cp:coreProperties>
</file>